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ordWrap/>
        <w:overflowPunct/>
        <w:topLinePunct w:val="0"/>
        <w:bidi w:val="0"/>
        <w:spacing w:line="560" w:lineRule="exact"/>
        <w:jc w:val="center"/>
        <w:outlineLvl w:val="0"/>
        <w:rPr>
          <w:rFonts w:hint="eastAsia" w:ascii="方正小标宋_GBK" w:hAnsi="方正小标宋_GBK" w:eastAsia="方正小标宋_GBK"/>
          <w:color w:val="auto"/>
          <w:sz w:val="44"/>
        </w:rPr>
      </w:pPr>
    </w:p>
    <w:p>
      <w:pPr>
        <w:keepNext w:val="0"/>
        <w:keepLines w:val="0"/>
        <w:pageBreakBefore w:val="0"/>
        <w:wordWrap/>
        <w:overflowPunct/>
        <w:topLinePunct w:val="0"/>
        <w:bidi w:val="0"/>
        <w:spacing w:line="560" w:lineRule="exact"/>
        <w:jc w:val="center"/>
        <w:outlineLvl w:val="0"/>
        <w:rPr>
          <w:rFonts w:hint="eastAsia" w:ascii="方正小标宋_GBK" w:hAnsi="方正小标宋_GBK" w:eastAsia="方正小标宋_GBK"/>
          <w:color w:val="000000" w:themeColor="text1"/>
          <w:sz w:val="44"/>
          <w:u w:val="none"/>
          <w:lang w:eastAsia="zh-Hans"/>
          <w14:textFill>
            <w14:solidFill>
              <w14:schemeClr w14:val="tx1"/>
            </w14:solidFill>
          </w14:textFill>
        </w:rPr>
      </w:pPr>
      <w:r>
        <w:rPr>
          <w:rFonts w:hint="eastAsia" w:ascii="方正小标宋_GBK" w:hAnsi="方正小标宋_GBK" w:eastAsia="方正小标宋_GBK"/>
          <w:color w:val="000000" w:themeColor="text1"/>
          <w:sz w:val="44"/>
          <w:u w:val="none"/>
          <w14:textFill>
            <w14:solidFill>
              <w14:schemeClr w14:val="tx1"/>
            </w14:solidFill>
          </w14:textFill>
        </w:rPr>
        <w:t>清城区</w:t>
      </w:r>
      <w:r>
        <w:rPr>
          <w:rFonts w:hint="eastAsia" w:ascii="方正小标宋_GBK" w:hAnsi="方正小标宋_GBK" w:eastAsia="方正小标宋_GBK"/>
          <w:color w:val="000000" w:themeColor="text1"/>
          <w:sz w:val="44"/>
          <w:u w:val="none"/>
          <w:lang w:eastAsia="zh-CN"/>
          <w14:textFill>
            <w14:solidFill>
              <w14:schemeClr w14:val="tx1"/>
            </w14:solidFill>
          </w14:textFill>
        </w:rPr>
        <w:t>区</w:t>
      </w:r>
      <w:r>
        <w:rPr>
          <w:rFonts w:hint="eastAsia" w:ascii="方正小标宋_GBK" w:hAnsi="方正小标宋_GBK" w:eastAsia="方正小标宋_GBK"/>
          <w:color w:val="000000" w:themeColor="text1"/>
          <w:sz w:val="44"/>
          <w:u w:val="none"/>
          <w:lang w:val="en-US" w:eastAsia="zh-CN"/>
          <w14:textFill>
            <w14:solidFill>
              <w14:schemeClr w14:val="tx1"/>
            </w14:solidFill>
          </w14:textFill>
        </w:rPr>
        <w:t>外</w:t>
      </w:r>
      <w:r>
        <w:rPr>
          <w:rFonts w:hint="eastAsia" w:ascii="方正小标宋_GBK" w:hAnsi="方正小标宋_GBK" w:eastAsia="方正小标宋_GBK"/>
          <w:color w:val="000000" w:themeColor="text1"/>
          <w:sz w:val="44"/>
          <w:u w:val="none"/>
          <w14:textFill>
            <w14:solidFill>
              <w14:schemeClr w14:val="tx1"/>
            </w14:solidFill>
          </w14:textFill>
        </w:rPr>
        <w:t>户籍适龄儿童（少年）申请</w:t>
      </w:r>
      <w:r>
        <w:rPr>
          <w:rFonts w:hint="eastAsia" w:ascii="方正小标宋_GBK" w:hAnsi="方正小标宋_GBK" w:eastAsia="方正小标宋_GBK"/>
          <w:color w:val="000000" w:themeColor="text1"/>
          <w:sz w:val="44"/>
          <w:u w:val="none"/>
          <w:lang w:eastAsia="zh-Hans"/>
          <w14:textFill>
            <w14:solidFill>
              <w14:schemeClr w14:val="tx1"/>
            </w14:solidFill>
          </w14:textFill>
        </w:rPr>
        <w:t>入读</w:t>
      </w:r>
    </w:p>
    <w:p>
      <w:pPr>
        <w:keepNext w:val="0"/>
        <w:keepLines w:val="0"/>
        <w:pageBreakBefore w:val="0"/>
        <w:wordWrap/>
        <w:overflowPunct/>
        <w:topLinePunct w:val="0"/>
        <w:bidi w:val="0"/>
        <w:spacing w:line="560" w:lineRule="exact"/>
        <w:jc w:val="center"/>
        <w:outlineLvl w:val="0"/>
        <w:rPr>
          <w:rFonts w:hint="eastAsia" w:eastAsia="方正小标宋_GBK"/>
          <w:color w:val="000000" w:themeColor="text1"/>
          <w:sz w:val="44"/>
          <w:szCs w:val="44"/>
          <w:u w:val="none"/>
          <w:lang w:eastAsia="zh-CN"/>
          <w14:textFill>
            <w14:solidFill>
              <w14:schemeClr w14:val="tx1"/>
            </w14:solidFill>
          </w14:textFill>
        </w:rPr>
      </w:pPr>
      <w:r>
        <w:rPr>
          <w:rFonts w:hint="eastAsia" w:ascii="方正小标宋_GBK" w:hAnsi="方正小标宋_GBK" w:eastAsia="方正小标宋_GBK"/>
          <w:color w:val="000000" w:themeColor="text1"/>
          <w:sz w:val="44"/>
          <w:u w:val="none"/>
          <w14:textFill>
            <w14:solidFill>
              <w14:schemeClr w14:val="tx1"/>
            </w14:solidFill>
          </w14:textFill>
        </w:rPr>
        <w:t>公</w:t>
      </w:r>
      <w:r>
        <w:rPr>
          <w:rFonts w:hint="eastAsia" w:ascii="方正小标宋_GBK" w:hAnsi="方正小标宋_GBK" w:eastAsia="方正小标宋_GBK"/>
          <w:color w:val="000000" w:themeColor="text1"/>
          <w:sz w:val="44"/>
          <w:u w:val="none"/>
          <w:lang w:eastAsia="zh-Hans"/>
          <w14:textFill>
            <w14:solidFill>
              <w14:schemeClr w14:val="tx1"/>
            </w14:solidFill>
          </w14:textFill>
        </w:rPr>
        <w:t>办学校</w:t>
      </w:r>
      <w:r>
        <w:rPr>
          <w:rFonts w:hint="eastAsia" w:ascii="方正小标宋_GBK" w:hAnsi="方正小标宋_GBK" w:eastAsia="方正小标宋_GBK"/>
          <w:color w:val="000000" w:themeColor="text1"/>
          <w:sz w:val="44"/>
          <w:u w:val="none"/>
          <w14:textFill>
            <w14:solidFill>
              <w14:schemeClr w14:val="tx1"/>
            </w14:solidFill>
          </w14:textFill>
        </w:rPr>
        <w:t>实施细则</w:t>
      </w:r>
      <w:r>
        <w:rPr>
          <w:rFonts w:hint="eastAsia" w:ascii="方正小标宋_GBK" w:hAnsi="方正小标宋_GBK" w:eastAsia="方正小标宋_GBK"/>
          <w:color w:val="000000" w:themeColor="text1"/>
          <w:sz w:val="44"/>
          <w:u w:val="none"/>
          <w:lang w:eastAsia="zh-CN"/>
          <w14:textFill>
            <w14:solidFill>
              <w14:schemeClr w14:val="tx1"/>
            </w14:solidFill>
          </w14:textFill>
        </w:rPr>
        <w:t>（</w:t>
      </w:r>
      <w:r>
        <w:rPr>
          <w:rFonts w:hint="eastAsia" w:ascii="方正小标宋_GBK" w:hAnsi="方正小标宋_GBK" w:eastAsia="方正小标宋_GBK"/>
          <w:color w:val="000000" w:themeColor="text1"/>
          <w:sz w:val="44"/>
          <w:u w:val="none"/>
          <w:lang w:val="en-US" w:eastAsia="zh-CN"/>
          <w14:textFill>
            <w14:solidFill>
              <w14:schemeClr w14:val="tx1"/>
            </w14:solidFill>
          </w14:textFill>
        </w:rPr>
        <w:t>试行</w:t>
      </w:r>
      <w:r>
        <w:rPr>
          <w:rFonts w:hint="eastAsia" w:ascii="方正小标宋_GBK" w:hAnsi="方正小标宋_GBK" w:eastAsia="方正小标宋_GBK"/>
          <w:color w:val="000000" w:themeColor="text1"/>
          <w:sz w:val="44"/>
          <w:u w:val="none"/>
          <w:lang w:eastAsia="zh-CN"/>
          <w14:textFill>
            <w14:solidFill>
              <w14:schemeClr w14:val="tx1"/>
            </w14:solidFill>
          </w14:textFill>
        </w:rPr>
        <w:t>）</w:t>
      </w:r>
    </w:p>
    <w:p>
      <w:pPr>
        <w:keepNext w:val="0"/>
        <w:keepLines w:val="0"/>
        <w:pageBreakBefore w:val="0"/>
        <w:wordWrap/>
        <w:overflowPunct/>
        <w:topLinePunct w:val="0"/>
        <w:bidi w:val="0"/>
        <w:spacing w:line="560" w:lineRule="exact"/>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bookmarkStart w:id="0" w:name="_Toc29709"/>
      <w:bookmarkStart w:id="1" w:name="_Toc10085"/>
      <w:bookmarkStart w:id="2" w:name="_Toc6707"/>
      <w:bookmarkStart w:id="3" w:name="_Toc15082"/>
      <w:bookmarkStart w:id="4" w:name="_Toc31272"/>
      <w:bookmarkStart w:id="5" w:name="_Toc22300"/>
    </w:p>
    <w:p>
      <w:pPr>
        <w:keepNext w:val="0"/>
        <w:keepLines w:val="0"/>
        <w:pageBreakBefore w:val="0"/>
        <w:wordWrap/>
        <w:overflowPunct/>
        <w:topLinePunct w:val="0"/>
        <w:bidi w:val="0"/>
        <w:spacing w:line="520" w:lineRule="exact"/>
        <w:ind w:firstLine="640"/>
        <w:rPr>
          <w:rFonts w:hint="default" w:ascii="仿宋_GB2312" w:hAnsi="仿宋_GB2312" w:eastAsia="仿宋_GB2312" w:cs="仿宋_GB2312"/>
          <w:color w:val="000000" w:themeColor="text1"/>
          <w:sz w:val="32"/>
          <w:szCs w:val="32"/>
          <w:u w:val="none"/>
          <w:lang w:val="en-US"/>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为进一步规范清城区区外</w:t>
      </w:r>
      <w:r>
        <w:rPr>
          <w:rFonts w:hint="eastAsia" w:ascii="仿宋_GB2312" w:hAnsi="仿宋_GB2312" w:eastAsia="仿宋_GB2312" w:cs="仿宋_GB2312"/>
          <w:color w:val="000000" w:themeColor="text1"/>
          <w:sz w:val="32"/>
          <w:szCs w:val="32"/>
          <w:u w:val="none"/>
          <w14:textFill>
            <w14:solidFill>
              <w14:schemeClr w14:val="tx1"/>
            </w14:solidFill>
          </w14:textFill>
        </w:rPr>
        <w:t>户籍适龄儿童（少年）</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申请入读公办学校的工作，确保做到公平有序，根据国家、省、市有关招生工作文件精神，结合我区实际，制定本实施细则。</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40" w:firstLineChars="200"/>
        <w:textAlignment w:val="baseline"/>
        <w:outlineLvl w:val="0"/>
        <w:rPr>
          <w:rFonts w:hint="eastAsia" w:ascii="黑体" w:hAnsi="黑体" w:eastAsia="黑体" w:cs="黑体"/>
          <w:color w:val="000000" w:themeColor="text1"/>
          <w:sz w:val="32"/>
          <w:u w:val="none"/>
          <w:lang w:eastAsia="zh-CN"/>
          <w14:textFill>
            <w14:solidFill>
              <w14:schemeClr w14:val="tx1"/>
            </w14:solidFill>
          </w14:textFill>
        </w:rPr>
      </w:pPr>
      <w:r>
        <w:rPr>
          <w:rFonts w:hint="eastAsia" w:ascii="黑体" w:hAnsi="黑体" w:eastAsia="黑体" w:cs="黑体"/>
          <w:color w:val="000000" w:themeColor="text1"/>
          <w:sz w:val="32"/>
          <w:u w:val="none"/>
          <w:lang w:val="en-US" w:eastAsia="zh-CN"/>
          <w14:textFill>
            <w14:solidFill>
              <w14:schemeClr w14:val="tx1"/>
            </w14:solidFill>
          </w14:textFill>
        </w:rPr>
        <w:t>一、</w:t>
      </w:r>
      <w:r>
        <w:rPr>
          <w:rFonts w:hint="eastAsia" w:ascii="黑体" w:hAnsi="黑体" w:eastAsia="黑体" w:cs="黑体"/>
          <w:color w:val="000000" w:themeColor="text1"/>
          <w:sz w:val="32"/>
          <w:u w:val="none"/>
          <w:lang w:eastAsia="zh-CN"/>
          <w14:textFill>
            <w14:solidFill>
              <w14:schemeClr w14:val="tx1"/>
            </w14:solidFill>
          </w14:textFill>
        </w:rPr>
        <w:t>保障性入学</w:t>
      </w:r>
    </w:p>
    <w:p>
      <w:pPr>
        <w:pStyle w:val="2"/>
        <w:keepNext w:val="0"/>
        <w:keepLines w:val="0"/>
        <w:pageBreakBefore w:val="0"/>
        <w:numPr>
          <w:ilvl w:val="0"/>
          <w:numId w:val="0"/>
        </w:numPr>
        <w:wordWrap/>
        <w:overflowPunct/>
        <w:topLinePunct w:val="0"/>
        <w:bidi w:val="0"/>
        <w:spacing w:line="520" w:lineRule="exact"/>
        <w:ind w:left="640" w:leftChars="0"/>
        <w:rPr>
          <w:rFonts w:hint="eastAsia" w:ascii="楷体_GB2312" w:hAnsi="楷体_GB2312" w:eastAsia="楷体_GB2312" w:cs="楷体_GB2312"/>
          <w:b/>
          <w:bCs/>
          <w:snapToGrid w:val="0"/>
          <w:color w:val="000000" w:themeColor="text1"/>
          <w:kern w:val="0"/>
          <w:sz w:val="32"/>
          <w:szCs w:val="32"/>
          <w:u w:val="none"/>
          <w:lang w:val="en-US" w:eastAsia="zh-CN" w:bidi="ar-SA"/>
          <w14:textFill>
            <w14:solidFill>
              <w14:schemeClr w14:val="tx1"/>
            </w14:solidFill>
          </w14:textFill>
        </w:rPr>
      </w:pPr>
      <w:r>
        <w:rPr>
          <w:rFonts w:hint="eastAsia" w:ascii="楷体_GB2312" w:hAnsi="楷体_GB2312" w:eastAsia="楷体_GB2312" w:cs="楷体_GB2312"/>
          <w:b/>
          <w:bCs/>
          <w:snapToGrid w:val="0"/>
          <w:color w:val="000000" w:themeColor="text1"/>
          <w:kern w:val="0"/>
          <w:sz w:val="32"/>
          <w:szCs w:val="32"/>
          <w:u w:val="none"/>
          <w:lang w:val="en-US" w:eastAsia="zh-CN" w:bidi="ar-SA"/>
          <w14:textFill>
            <w14:solidFill>
              <w14:schemeClr w14:val="tx1"/>
            </w14:solidFill>
          </w14:textFill>
        </w:rPr>
        <w:t>（一）现（退）役军人子女</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40" w:firstLineChars="200"/>
        <w:textAlignment w:val="baseline"/>
        <w:rPr>
          <w:rFonts w:hint="default" w:ascii="仿宋_GB2312" w:hAnsi="仿宋_GB2312" w:eastAsia="仿宋_GB2312" w:cs="仿宋_GB2312"/>
          <w:snapToGrid w:val="0"/>
          <w:color w:val="000000" w:themeColor="text1"/>
          <w:kern w:val="0"/>
          <w:sz w:val="32"/>
          <w:szCs w:val="32"/>
          <w:u w:val="none"/>
          <w:lang w:val="en-US" w:eastAsia="zh-CN" w:bidi="ar-SA"/>
          <w14:textFill>
            <w14:solidFill>
              <w14:schemeClr w14:val="tx1"/>
            </w14:solidFill>
          </w14:textFill>
        </w:rPr>
      </w:pPr>
      <w:r>
        <w:rPr>
          <w:rFonts w:hint="eastAsia" w:ascii="仿宋_GB2312" w:hAnsi="仿宋_GB2312" w:eastAsia="仿宋_GB2312" w:cs="仿宋_GB2312"/>
          <w:snapToGrid w:val="0"/>
          <w:color w:val="000000" w:themeColor="text1"/>
          <w:kern w:val="0"/>
          <w:sz w:val="32"/>
          <w:szCs w:val="32"/>
          <w:u w:val="none"/>
          <w:lang w:val="en-US" w:eastAsia="zh-CN" w:bidi="ar-SA"/>
          <w14:textFill>
            <w14:solidFill>
              <w14:schemeClr w14:val="tx1"/>
            </w14:solidFill>
          </w14:textFill>
        </w:rPr>
        <w:t>根据《广东省教育厅 广东省军区政治部关于军人子女教育优待办法的实施细则》(政干〔2013〕138号）《清远市退役军人事务局等19个部门关于印发&lt;清远市军人及军属、退役军人和其他优抚对象优待实施办法&gt;的通知》精神，符合条件的现（退）役军人子女。</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20" w:lineRule="exact"/>
        <w:ind w:left="640" w:leftChars="0" w:firstLine="0" w:firstLineChars="0"/>
        <w:textAlignment w:val="baseline"/>
        <w:outlineLvl w:val="1"/>
        <w:rPr>
          <w:rFonts w:hint="eastAsia" w:ascii="楷体_GB2312" w:hAnsi="楷体_GB2312" w:eastAsia="楷体_GB2312" w:cs="楷体_GB2312"/>
          <w:b/>
          <w:bCs/>
          <w:color w:val="000000" w:themeColor="text1"/>
          <w:sz w:val="32"/>
          <w:szCs w:val="32"/>
          <w:u w:val="none"/>
          <w:lang w:eastAsia="zh-CN"/>
          <w14:textFill>
            <w14:solidFill>
              <w14:schemeClr w14:val="tx1"/>
            </w14:solidFill>
          </w14:textFill>
        </w:rPr>
      </w:pPr>
      <w:r>
        <w:rPr>
          <w:rFonts w:hint="eastAsia" w:ascii="楷体_GB2312" w:hAnsi="楷体_GB2312" w:eastAsia="楷体_GB2312" w:cs="楷体_GB2312"/>
          <w:b/>
          <w:bCs/>
          <w:color w:val="000000" w:themeColor="text1"/>
          <w:sz w:val="32"/>
          <w:szCs w:val="32"/>
          <w:u w:val="none"/>
          <w:lang w:val="en-US" w:eastAsia="zh-CN"/>
          <w14:textFill>
            <w14:solidFill>
              <w14:schemeClr w14:val="tx1"/>
            </w14:solidFill>
          </w14:textFill>
        </w:rPr>
        <w:t>符合条件的</w:t>
      </w:r>
      <w:r>
        <w:rPr>
          <w:rFonts w:hint="eastAsia" w:ascii="楷体_GB2312" w:hAnsi="楷体_GB2312" w:eastAsia="楷体_GB2312" w:cs="楷体_GB2312"/>
          <w:b/>
          <w:bCs/>
          <w:color w:val="000000" w:themeColor="text1"/>
          <w:sz w:val="32"/>
          <w:szCs w:val="32"/>
          <w:u w:val="none"/>
          <w14:textFill>
            <w14:solidFill>
              <w14:schemeClr w14:val="tx1"/>
            </w14:solidFill>
          </w14:textFill>
        </w:rPr>
        <w:t>进城务工人员</w:t>
      </w:r>
      <w:r>
        <w:rPr>
          <w:rFonts w:hint="eastAsia" w:ascii="楷体_GB2312" w:hAnsi="楷体_GB2312" w:eastAsia="楷体_GB2312" w:cs="楷体_GB2312"/>
          <w:b/>
          <w:bCs/>
          <w:color w:val="000000" w:themeColor="text1"/>
          <w:sz w:val="32"/>
          <w:szCs w:val="32"/>
          <w:u w:val="none"/>
          <w:lang w:eastAsia="zh-CN"/>
          <w14:textFill>
            <w14:solidFill>
              <w14:schemeClr w14:val="tx1"/>
            </w14:solidFill>
          </w14:textFill>
        </w:rPr>
        <w:t>随迁子女</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40" w:firstLineChars="200"/>
        <w:textAlignment w:val="baseline"/>
        <w:outlineLvl w:val="1"/>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根据</w:t>
      </w:r>
      <w:r>
        <w:rPr>
          <w:rFonts w:hint="eastAsia" w:ascii="仿宋_GB2312" w:hAnsi="仿宋_GB2312" w:eastAsia="仿宋_GB2312" w:cs="仿宋_GB2312"/>
          <w:color w:val="000000" w:themeColor="text1"/>
          <w:sz w:val="32"/>
          <w:szCs w:val="32"/>
          <w:u w:val="none"/>
          <w:lang w:eastAsia="zh-CN"/>
          <w14:textFill>
            <w14:solidFill>
              <w14:schemeClr w14:val="tx1"/>
            </w14:solidFill>
          </w14:textFill>
        </w:rPr>
        <w:t>广东省人民政府办公厅《</w:t>
      </w:r>
      <w:r>
        <w:rPr>
          <w:rFonts w:hint="eastAsia" w:ascii="仿宋_GB2312" w:hAnsi="仿宋_GB2312" w:eastAsia="仿宋_GB2312" w:cs="仿宋_GB2312"/>
          <w:color w:val="000000" w:themeColor="text1"/>
          <w:sz w:val="32"/>
          <w:szCs w:val="32"/>
          <w:u w:val="none"/>
          <w14:textFill>
            <w14:solidFill>
              <w14:schemeClr w14:val="tx1"/>
            </w14:solidFill>
          </w14:textFill>
        </w:rPr>
        <w:t>关于做好进城务工人员随迁子女义务教育工作的意见</w:t>
      </w:r>
      <w:r>
        <w:rPr>
          <w:rFonts w:hint="eastAsia" w:ascii="仿宋_GB2312" w:hAnsi="仿宋_GB2312" w:eastAsia="仿宋_GB2312" w:cs="仿宋_GB2312"/>
          <w:color w:val="000000" w:themeColor="text1"/>
          <w:sz w:val="32"/>
          <w:szCs w:val="32"/>
          <w:u w:val="none"/>
          <w:lang w:eastAsia="zh-CN"/>
          <w14:textFill>
            <w14:solidFill>
              <w14:schemeClr w14:val="tx1"/>
            </w14:solidFill>
          </w14:textFill>
        </w:rPr>
        <w:t>》（粤府办〔2011〕45号）精神，</w:t>
      </w:r>
      <w:r>
        <w:rPr>
          <w:rFonts w:hint="eastAsia" w:ascii="仿宋_GB2312" w:hAnsi="仿宋_GB2312" w:eastAsia="仿宋_GB2312" w:cs="仿宋_GB2312"/>
          <w:color w:val="000000" w:themeColor="text1"/>
          <w:sz w:val="32"/>
          <w:szCs w:val="32"/>
          <w:u w:val="none"/>
          <w14:textFill>
            <w14:solidFill>
              <w14:schemeClr w14:val="tx1"/>
            </w14:solidFill>
          </w14:textFill>
        </w:rPr>
        <w:t>其法定监护人（其中一方）</w:t>
      </w:r>
      <w:bookmarkStart w:id="14" w:name="_GoBack"/>
      <w:bookmarkEnd w:id="14"/>
      <w:r>
        <w:rPr>
          <w:rFonts w:hint="eastAsia" w:ascii="仿宋_GB2312" w:hAnsi="仿宋_GB2312" w:eastAsia="仿宋_GB2312" w:cs="仿宋_GB2312"/>
          <w:color w:val="000000" w:themeColor="text1"/>
          <w:sz w:val="32"/>
          <w:szCs w:val="32"/>
          <w:u w:val="none"/>
          <w14:textFill>
            <w14:solidFill>
              <w14:schemeClr w14:val="tx1"/>
            </w14:solidFill>
          </w14:textFill>
        </w:rPr>
        <w:t>为清远市外户籍进城务工人员，且在学校学区内连续居住并在清城区</w:t>
      </w:r>
      <w:r>
        <w:rPr>
          <w:rFonts w:hint="eastAsia" w:ascii="仿宋_GB2312" w:hAnsi="仿宋_GB2312" w:eastAsia="仿宋_GB2312" w:cs="仿宋_GB2312"/>
          <w:color w:val="000000" w:themeColor="text1"/>
          <w:sz w:val="32"/>
          <w:szCs w:val="32"/>
          <w:u w:val="none"/>
          <w:lang w:eastAsia="zh-CN"/>
          <w14:textFill>
            <w14:solidFill>
              <w14:schemeClr w14:val="tx1"/>
            </w14:solidFill>
          </w14:textFill>
        </w:rPr>
        <w:t>连续</w:t>
      </w:r>
      <w:r>
        <w:rPr>
          <w:rFonts w:hint="eastAsia" w:ascii="仿宋_GB2312" w:hAnsi="仿宋_GB2312" w:eastAsia="仿宋_GB2312" w:cs="仿宋_GB2312"/>
          <w:color w:val="000000" w:themeColor="text1"/>
          <w:sz w:val="32"/>
          <w:szCs w:val="32"/>
          <w:u w:val="none"/>
          <w14:textFill>
            <w14:solidFill>
              <w14:schemeClr w14:val="tx1"/>
            </w14:solidFill>
          </w14:textFill>
        </w:rPr>
        <w:t>依法缴纳社保（含养老和医疗）满五年、有稳定职业、持有在清城区办理的有效《广东省居住证》</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的适龄儿童（少年）。</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43" w:firstLineChars="200"/>
        <w:textAlignment w:val="baseline"/>
        <w:rPr>
          <w:rFonts w:hint="eastAsia" w:ascii="楷体_GB2312" w:hAnsi="楷体_GB2312" w:eastAsia="楷体_GB2312" w:cs="楷体_GB2312"/>
          <w:b/>
          <w:bCs/>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b/>
          <w:bCs/>
          <w:color w:val="000000" w:themeColor="text1"/>
          <w:kern w:val="2"/>
          <w:sz w:val="32"/>
          <w:szCs w:val="32"/>
          <w:u w:val="none"/>
          <w:lang w:val="en-US" w:eastAsia="zh-CN" w:bidi="ar-SA"/>
          <w14:textFill>
            <w14:solidFill>
              <w14:schemeClr w14:val="tx1"/>
            </w14:solidFill>
          </w14:textFill>
        </w:rPr>
        <w:t>（三）国家、省、市、区有关政策文件规定的特殊群体适龄儿童（少年）</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textAlignment w:val="baseline"/>
        <w:rPr>
          <w:rFonts w:hint="default"/>
          <w:color w:val="000000" w:themeColor="text1"/>
          <w:u w:val="none"/>
          <w:lang w:val="en-US" w:eastAsia="zh-CN"/>
          <w14:textFill>
            <w14:solidFill>
              <w14:schemeClr w14:val="tx1"/>
            </w14:solidFill>
          </w14:textFill>
        </w:rPr>
      </w:pPr>
      <w:r>
        <w:rPr>
          <w:rFonts w:hint="eastAsia"/>
          <w:color w:val="000000" w:themeColor="text1"/>
          <w:u w:val="none"/>
          <w:lang w:val="en-US" w:eastAsia="zh-CN"/>
          <w14:textFill>
            <w14:solidFill>
              <w14:schemeClr w14:val="tx1"/>
            </w14:solidFill>
          </w14:textFill>
        </w:rPr>
        <w:t xml:space="preserve">    </w:t>
      </w:r>
      <w:r>
        <w:rPr>
          <w:rFonts w:hint="eastAsia" w:ascii="仿宋_GB2312" w:hAnsi="仿宋_GB2312" w:eastAsia="仿宋_GB2312" w:cs="仿宋_GB2312"/>
          <w:b w:val="0"/>
          <w:bCs w:val="0"/>
          <w:color w:val="000000" w:themeColor="text1"/>
          <w:sz w:val="32"/>
          <w:szCs w:val="32"/>
          <w:u w:val="none"/>
          <w:lang w:val="en-US" w:eastAsia="zh-CN"/>
          <w14:textFill>
            <w14:solidFill>
              <w14:schemeClr w14:val="tx1"/>
            </w14:solidFill>
          </w14:textFill>
        </w:rPr>
        <w:t xml:space="preserve">  符合上述保障性入读条件的适龄儿童（少年），由教育部门统筹协调到公办学校就读。</w:t>
      </w:r>
    </w:p>
    <w:p>
      <w:pPr>
        <w:keepNext w:val="0"/>
        <w:keepLines w:val="0"/>
        <w:pageBreakBefore w:val="0"/>
        <w:wordWrap/>
        <w:overflowPunct/>
        <w:topLinePunct w:val="0"/>
        <w:autoSpaceDN w:val="0"/>
        <w:bidi w:val="0"/>
        <w:spacing w:line="520" w:lineRule="exact"/>
        <w:ind w:firstLine="640" w:firstLineChars="200"/>
        <w:outlineLvl w:val="0"/>
        <w:rPr>
          <w:rFonts w:hint="eastAsia"/>
          <w:color w:val="000000" w:themeColor="text1"/>
          <w:u w:val="none"/>
          <w14:textFill>
            <w14:solidFill>
              <w14:schemeClr w14:val="tx1"/>
            </w14:solidFill>
          </w14:textFill>
        </w:rPr>
      </w:pPr>
      <w:r>
        <w:rPr>
          <w:rFonts w:hint="eastAsia" w:ascii="黑体" w:hAnsi="黑体" w:eastAsia="黑体" w:cs="黑体"/>
          <w:color w:val="000000" w:themeColor="text1"/>
          <w:sz w:val="32"/>
          <w:u w:val="none"/>
          <w:lang w:eastAsia="zh-CN"/>
          <w14:textFill>
            <w14:solidFill>
              <w14:schemeClr w14:val="tx1"/>
            </w14:solidFill>
          </w14:textFill>
        </w:rPr>
        <w:t>二</w:t>
      </w:r>
      <w:r>
        <w:rPr>
          <w:rFonts w:hint="eastAsia" w:ascii="黑体" w:hAnsi="黑体" w:eastAsia="黑体" w:cs="黑体"/>
          <w:color w:val="000000" w:themeColor="text1"/>
          <w:sz w:val="32"/>
          <w:u w:val="none"/>
          <w14:textFill>
            <w14:solidFill>
              <w14:schemeClr w14:val="tx1"/>
            </w14:solidFill>
          </w14:textFill>
        </w:rPr>
        <w:t>、</w:t>
      </w:r>
      <w:r>
        <w:rPr>
          <w:rFonts w:hint="eastAsia" w:ascii="黑体" w:hAnsi="黑体" w:eastAsia="黑体" w:cs="黑体"/>
          <w:color w:val="000000" w:themeColor="text1"/>
          <w:sz w:val="32"/>
          <w:u w:val="none"/>
          <w:lang w:eastAsia="zh-CN"/>
          <w14:textFill>
            <w14:solidFill>
              <w14:schemeClr w14:val="tx1"/>
            </w14:solidFill>
          </w14:textFill>
        </w:rPr>
        <w:t>积分制入学</w:t>
      </w:r>
    </w:p>
    <w:p>
      <w:pPr>
        <w:keepNext w:val="0"/>
        <w:keepLines w:val="0"/>
        <w:pageBreakBefore w:val="0"/>
        <w:wordWrap/>
        <w:overflowPunct/>
        <w:topLinePunct w:val="0"/>
        <w:autoSpaceDN w:val="0"/>
        <w:bidi w:val="0"/>
        <w:spacing w:line="520" w:lineRule="exact"/>
        <w:ind w:firstLine="643" w:firstLineChars="200"/>
        <w:outlineLvl w:val="0"/>
        <w:rPr>
          <w:rFonts w:hint="eastAsia" w:ascii="楷体_GB2312" w:hAnsi="楷体_GB2312" w:eastAsia="楷体_GB2312" w:cs="楷体_GB2312"/>
          <w:b/>
          <w:bCs/>
          <w:color w:val="000000" w:themeColor="text1"/>
          <w:sz w:val="32"/>
          <w:u w:val="none"/>
          <w14:textFill>
            <w14:solidFill>
              <w14:schemeClr w14:val="tx1"/>
            </w14:solidFill>
          </w14:textFill>
        </w:rPr>
      </w:pPr>
      <w:r>
        <w:rPr>
          <w:rFonts w:hint="eastAsia" w:ascii="楷体_GB2312" w:hAnsi="楷体_GB2312" w:eastAsia="楷体_GB2312" w:cs="楷体_GB2312"/>
          <w:b/>
          <w:bCs/>
          <w:color w:val="000000" w:themeColor="text1"/>
          <w:sz w:val="32"/>
          <w:u w:val="none"/>
          <w:lang w:eastAsia="zh-CN"/>
          <w14:textFill>
            <w14:solidFill>
              <w14:schemeClr w14:val="tx1"/>
            </w14:solidFill>
          </w14:textFill>
        </w:rPr>
        <w:t>（一）</w:t>
      </w:r>
      <w:r>
        <w:rPr>
          <w:rFonts w:hint="eastAsia" w:ascii="楷体_GB2312" w:hAnsi="楷体_GB2312" w:eastAsia="楷体_GB2312" w:cs="楷体_GB2312"/>
          <w:b/>
          <w:bCs/>
          <w:color w:val="000000" w:themeColor="text1"/>
          <w:sz w:val="32"/>
          <w:u w:val="none"/>
          <w14:textFill>
            <w14:solidFill>
              <w14:schemeClr w14:val="tx1"/>
            </w14:solidFill>
          </w14:textFill>
        </w:rPr>
        <w:t>积分申请入学对象</w:t>
      </w:r>
    </w:p>
    <w:p>
      <w:pPr>
        <w:keepNext w:val="0"/>
        <w:keepLines w:val="0"/>
        <w:pageBreakBefore w:val="0"/>
        <w:wordWrap/>
        <w:overflowPunct/>
        <w:topLinePunct w:val="0"/>
        <w:autoSpaceDN w:val="0"/>
        <w:bidi w:val="0"/>
        <w:spacing w:line="520" w:lineRule="exact"/>
        <w:ind w:firstLine="643" w:firstLineChars="200"/>
        <w:outlineLvl w:val="1"/>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仿宋_GB2312" w:hAnsi="仿宋_GB2312" w:eastAsia="仿宋_GB2312" w:cs="仿宋_GB2312"/>
          <w:b/>
          <w:bCs/>
          <w:color w:val="000000" w:themeColor="text1"/>
          <w:sz w:val="32"/>
          <w:szCs w:val="32"/>
          <w:u w:val="none"/>
          <w:lang w:val="en-US" w:eastAsia="zh-CN"/>
          <w14:textFill>
            <w14:solidFill>
              <w14:schemeClr w14:val="tx1"/>
            </w14:solidFill>
          </w14:textFill>
        </w:rPr>
        <w:t>1.</w:t>
      </w:r>
      <w:r>
        <w:rPr>
          <w:rFonts w:hint="eastAsia" w:ascii="仿宋_GB2312" w:hAnsi="仿宋_GB2312" w:eastAsia="仿宋_GB2312" w:cs="仿宋_GB2312"/>
          <w:b/>
          <w:bCs/>
          <w:color w:val="000000" w:themeColor="text1"/>
          <w:sz w:val="32"/>
          <w:szCs w:val="32"/>
          <w:u w:val="none"/>
          <w14:textFill>
            <w14:solidFill>
              <w14:schemeClr w14:val="tx1"/>
            </w14:solidFill>
          </w14:textFill>
        </w:rPr>
        <w:t>一年级</w:t>
      </w:r>
      <w:r>
        <w:rPr>
          <w:rFonts w:hint="eastAsia" w:ascii="仿宋_GB2312" w:hAnsi="仿宋_GB2312" w:eastAsia="仿宋_GB2312" w:cs="仿宋_GB2312"/>
          <w:b/>
          <w:bCs/>
          <w:color w:val="000000" w:themeColor="text1"/>
          <w:sz w:val="32"/>
          <w:szCs w:val="32"/>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0"/>
          <w:u w:val="none"/>
          <w14:textFill>
            <w14:solidFill>
              <w14:schemeClr w14:val="tx1"/>
            </w14:solidFill>
          </w14:textFill>
        </w:rPr>
        <w:t>年满六周岁</w:t>
      </w:r>
      <w:r>
        <w:rPr>
          <w:rFonts w:hint="eastAsia" w:ascii="仿宋_GB2312" w:hAnsi="仿宋_GB2312" w:eastAsia="仿宋_GB2312" w:cs="仿宋_GB2312"/>
          <w:color w:val="000000" w:themeColor="text1"/>
          <w:sz w:val="32"/>
          <w:szCs w:val="30"/>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0"/>
          <w:u w:val="none"/>
          <w14:textFill>
            <w14:solidFill>
              <w14:schemeClr w14:val="tx1"/>
            </w14:solidFill>
          </w14:textFill>
        </w:rPr>
        <w:t>有学习能力，本人或其</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法定</w:t>
      </w:r>
      <w:r>
        <w:rPr>
          <w:rFonts w:hint="eastAsia" w:ascii="仿宋_GB2312" w:hAnsi="仿宋_GB2312" w:eastAsia="仿宋_GB2312" w:cs="仿宋_GB2312"/>
          <w:color w:val="000000" w:themeColor="text1"/>
          <w:sz w:val="32"/>
          <w:szCs w:val="30"/>
          <w:u w:val="none"/>
          <w14:textFill>
            <w14:solidFill>
              <w14:schemeClr w14:val="tx1"/>
            </w14:solidFill>
          </w14:textFill>
        </w:rPr>
        <w:t>监护人在清城区学校学区内有合法房产</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（该房产有房产证或不动产权证书，没有权属纠纷，受法律保护，本人或其法定监护人</w:t>
      </w:r>
      <w:r>
        <w:rPr>
          <w:rFonts w:hint="eastAsia" w:ascii="仿宋_GB2312" w:hAnsi="仿宋_GB2312" w:eastAsia="仿宋_GB2312" w:cs="仿宋_GB2312"/>
          <w:color w:val="000000" w:themeColor="text1"/>
          <w:sz w:val="32"/>
          <w:szCs w:val="32"/>
          <w:u w:val="none"/>
          <w14:textFill>
            <w14:solidFill>
              <w14:schemeClr w14:val="tx1"/>
            </w14:solidFill>
          </w14:textFill>
        </w:rPr>
        <w:t>权属占比51%或以上，以下简称“合法房产”</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w:t>
      </w:r>
      <w:r>
        <w:rPr>
          <w:rFonts w:hint="eastAsia" w:ascii="仿宋_GB2312" w:hAnsi="仿宋_GB2312" w:eastAsia="仿宋_GB2312" w:cs="仿宋_GB2312"/>
          <w:color w:val="000000" w:themeColor="text1"/>
          <w:sz w:val="32"/>
          <w:szCs w:val="30"/>
          <w:u w:val="none"/>
          <w14:textFill>
            <w14:solidFill>
              <w14:schemeClr w14:val="tx1"/>
            </w14:solidFill>
          </w14:textFill>
        </w:rPr>
        <w:t>并实际居住，未建立小学学籍的清城区</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区外</w:t>
      </w:r>
      <w:r>
        <w:rPr>
          <w:rFonts w:hint="eastAsia" w:ascii="仿宋_GB2312" w:hAnsi="仿宋_GB2312" w:eastAsia="仿宋_GB2312" w:cs="仿宋_GB2312"/>
          <w:color w:val="000000" w:themeColor="text1"/>
          <w:sz w:val="32"/>
          <w:szCs w:val="30"/>
          <w:u w:val="none"/>
          <w14:textFill>
            <w14:solidFill>
              <w14:schemeClr w14:val="tx1"/>
            </w14:solidFill>
          </w14:textFill>
        </w:rPr>
        <w:t>户籍适龄儿童。</w:t>
      </w:r>
    </w:p>
    <w:p>
      <w:pPr>
        <w:pStyle w:val="12"/>
        <w:keepNext w:val="0"/>
        <w:keepLines w:val="0"/>
        <w:pageBreakBefore w:val="0"/>
        <w:widowControl w:val="0"/>
        <w:wordWrap/>
        <w:overflowPunct/>
        <w:topLinePunct w:val="0"/>
        <w:bidi w:val="0"/>
        <w:spacing w:line="520" w:lineRule="exact"/>
        <w:ind w:left="0" w:firstLine="643" w:firstLineChars="200"/>
        <w:outlineLvl w:val="2"/>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仿宋_GB2312" w:hAnsi="仿宋_GB2312" w:eastAsia="仿宋_GB2312" w:cs="仿宋_GB2312"/>
          <w:b/>
          <w:bCs/>
          <w:color w:val="000000" w:themeColor="text1"/>
          <w:sz w:val="32"/>
          <w:szCs w:val="32"/>
          <w:u w:val="none"/>
          <w:lang w:val="en-US" w:eastAsia="zh-CN"/>
          <w14:textFill>
            <w14:solidFill>
              <w14:schemeClr w14:val="tx1"/>
            </w14:solidFill>
          </w14:textFill>
        </w:rPr>
        <w:t>2.</w:t>
      </w:r>
      <w:r>
        <w:rPr>
          <w:rFonts w:hint="eastAsia" w:ascii="仿宋_GB2312" w:hAnsi="仿宋_GB2312" w:eastAsia="仿宋_GB2312" w:cs="仿宋_GB2312"/>
          <w:b/>
          <w:bCs/>
          <w:color w:val="000000" w:themeColor="text1"/>
          <w:sz w:val="32"/>
          <w:szCs w:val="32"/>
          <w:u w:val="none"/>
          <w14:textFill>
            <w14:solidFill>
              <w14:schemeClr w14:val="tx1"/>
            </w14:solidFill>
          </w14:textFill>
        </w:rPr>
        <w:t>七年级</w:t>
      </w:r>
      <w:r>
        <w:rPr>
          <w:rFonts w:hint="eastAsia" w:ascii="仿宋_GB2312" w:hAnsi="仿宋_GB2312" w:eastAsia="仿宋_GB2312" w:cs="仿宋_GB2312"/>
          <w:b/>
          <w:bCs/>
          <w:color w:val="000000" w:themeColor="text1"/>
          <w:sz w:val="32"/>
          <w:szCs w:val="32"/>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0"/>
          <w:u w:val="none"/>
          <w14:textFill>
            <w14:solidFill>
              <w14:schemeClr w14:val="tx1"/>
            </w14:solidFill>
          </w14:textFill>
        </w:rPr>
        <w:t>有学习能力，本人或其</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法定</w:t>
      </w:r>
      <w:r>
        <w:rPr>
          <w:rFonts w:hint="eastAsia" w:ascii="仿宋_GB2312" w:hAnsi="仿宋_GB2312" w:eastAsia="仿宋_GB2312" w:cs="仿宋_GB2312"/>
          <w:color w:val="000000" w:themeColor="text1"/>
          <w:sz w:val="32"/>
          <w:szCs w:val="30"/>
          <w:u w:val="none"/>
          <w14:textFill>
            <w14:solidFill>
              <w14:schemeClr w14:val="tx1"/>
            </w14:solidFill>
          </w14:textFill>
        </w:rPr>
        <w:t>监护人在清城区学校学区内有合法房产并实际居住，未建立初中学籍</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的</w:t>
      </w:r>
      <w:r>
        <w:rPr>
          <w:rFonts w:hint="eastAsia" w:ascii="仿宋_GB2312" w:hAnsi="仿宋_GB2312" w:eastAsia="仿宋_GB2312" w:cs="仿宋_GB2312"/>
          <w:color w:val="000000" w:themeColor="text1"/>
          <w:sz w:val="32"/>
          <w:szCs w:val="30"/>
          <w:u w:val="none"/>
          <w14:textFill>
            <w14:solidFill>
              <w14:schemeClr w14:val="tx1"/>
            </w14:solidFill>
          </w14:textFill>
        </w:rPr>
        <w:t>清城区</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区外</w:t>
      </w:r>
      <w:r>
        <w:rPr>
          <w:rFonts w:hint="eastAsia" w:ascii="仿宋_GB2312" w:hAnsi="仿宋_GB2312" w:eastAsia="仿宋_GB2312" w:cs="仿宋_GB2312"/>
          <w:color w:val="000000" w:themeColor="text1"/>
          <w:sz w:val="32"/>
          <w:szCs w:val="30"/>
          <w:u w:val="none"/>
          <w14:textFill>
            <w14:solidFill>
              <w14:schemeClr w14:val="tx1"/>
            </w14:solidFill>
          </w14:textFill>
        </w:rPr>
        <w:t>户籍六年级应届学生。</w:t>
      </w:r>
    </w:p>
    <w:p>
      <w:pPr>
        <w:keepNext w:val="0"/>
        <w:keepLines w:val="0"/>
        <w:pageBreakBefore w:val="0"/>
        <w:wordWrap/>
        <w:overflowPunct/>
        <w:topLinePunct w:val="0"/>
        <w:bidi w:val="0"/>
        <w:spacing w:line="520" w:lineRule="exact"/>
        <w:ind w:right="-218" w:rightChars="-104" w:firstLine="643" w:firstLineChars="200"/>
        <w:rPr>
          <w:rFonts w:hint="eastAsia" w:ascii="楷体_GB2312" w:hAnsi="楷体_GB2312" w:eastAsia="楷体_GB2312" w:cs="楷体_GB2312"/>
          <w:b/>
          <w:bCs/>
          <w:color w:val="000000" w:themeColor="text1"/>
          <w:sz w:val="32"/>
          <w:szCs w:val="32"/>
          <w:u w:val="none"/>
          <w:lang w:eastAsia="zh-CN"/>
          <w14:textFill>
            <w14:solidFill>
              <w14:schemeClr w14:val="tx1"/>
            </w14:solidFill>
          </w14:textFill>
        </w:rPr>
      </w:pPr>
      <w:r>
        <w:rPr>
          <w:rFonts w:hint="eastAsia" w:ascii="楷体_GB2312" w:hAnsi="楷体_GB2312" w:eastAsia="楷体_GB2312" w:cs="楷体_GB2312"/>
          <w:b/>
          <w:bCs/>
          <w:color w:val="000000" w:themeColor="text1"/>
          <w:sz w:val="32"/>
          <w:szCs w:val="32"/>
          <w:u w:val="none"/>
          <w:lang w:val="en-US" w:eastAsia="zh-CN"/>
          <w14:textFill>
            <w14:solidFill>
              <w14:schemeClr w14:val="tx1"/>
            </w14:solidFill>
          </w14:textFill>
        </w:rPr>
        <w:t>（二</w:t>
      </w:r>
      <w:bookmarkEnd w:id="0"/>
      <w:bookmarkEnd w:id="1"/>
      <w:bookmarkEnd w:id="2"/>
      <w:bookmarkEnd w:id="3"/>
      <w:bookmarkEnd w:id="4"/>
      <w:bookmarkEnd w:id="5"/>
      <w:r>
        <w:rPr>
          <w:rFonts w:hint="eastAsia" w:ascii="楷体_GB2312" w:hAnsi="楷体_GB2312" w:eastAsia="楷体_GB2312" w:cs="楷体_GB2312"/>
          <w:b/>
          <w:bCs/>
          <w:color w:val="000000" w:themeColor="text1"/>
          <w:sz w:val="32"/>
          <w:szCs w:val="32"/>
          <w:u w:val="none"/>
          <w:lang w:val="en-US" w:eastAsia="zh-CN"/>
          <w14:textFill>
            <w14:solidFill>
              <w14:schemeClr w14:val="tx1"/>
            </w14:solidFill>
          </w14:textFill>
        </w:rPr>
        <w:t>）</w:t>
      </w:r>
      <w:r>
        <w:rPr>
          <w:rFonts w:hint="eastAsia" w:ascii="楷体_GB2312" w:hAnsi="楷体_GB2312" w:eastAsia="楷体_GB2312" w:cs="楷体_GB2312"/>
          <w:b/>
          <w:bCs/>
          <w:color w:val="000000" w:themeColor="text1"/>
          <w:sz w:val="32"/>
          <w:szCs w:val="32"/>
          <w:u w:val="none"/>
          <w14:textFill>
            <w14:solidFill>
              <w14:schemeClr w14:val="tx1"/>
            </w14:solidFill>
          </w14:textFill>
        </w:rPr>
        <w:t>积分申请入学流程</w:t>
      </w:r>
    </w:p>
    <w:p>
      <w:pPr>
        <w:pStyle w:val="12"/>
        <w:keepNext w:val="0"/>
        <w:keepLines w:val="0"/>
        <w:pageBreakBefore w:val="0"/>
        <w:widowControl w:val="0"/>
        <w:wordWrap/>
        <w:overflowPunct/>
        <w:topLinePunct w:val="0"/>
        <w:bidi w:val="0"/>
        <w:spacing w:line="520" w:lineRule="exact"/>
        <w:ind w:left="0" w:firstLine="640" w:firstLineChars="200"/>
        <w:rPr>
          <w:rFonts w:hint="default" w:ascii="仿宋_GB2312" w:hAnsi="仿宋_GB2312" w:eastAsia="仿宋_GB2312" w:cs="仿宋_GB2312"/>
          <w:color w:val="000000" w:themeColor="text1"/>
          <w:sz w:val="32"/>
          <w:szCs w:val="30"/>
          <w:u w:val="none"/>
          <w:lang w:val="en-US" w:eastAsia="zh-CN"/>
          <w14:textFill>
            <w14:solidFill>
              <w14:schemeClr w14:val="tx1"/>
            </w14:solidFill>
          </w14:textFill>
        </w:rPr>
      </w:pPr>
      <w:r>
        <w:rPr>
          <w:rFonts w:hint="eastAsia" w:ascii="楷体_GB2312" w:hAnsi="楷体_GB2312" w:eastAsia="楷体_GB2312" w:cs="楷体_GB2312"/>
          <w:color w:val="000000" w:themeColor="text1"/>
          <w:sz w:val="32"/>
          <w:szCs w:val="30"/>
          <w:u w:val="none"/>
          <w:lang w:val="en-US" w:eastAsia="zh-CN"/>
          <w14:textFill>
            <w14:solidFill>
              <w14:schemeClr w14:val="tx1"/>
            </w14:solidFill>
          </w14:textFill>
        </w:rPr>
        <w:t>1.</w:t>
      </w:r>
      <w:r>
        <w:rPr>
          <w:rFonts w:hint="eastAsia" w:ascii="楷体_GB2312" w:hAnsi="楷体_GB2312" w:eastAsia="楷体_GB2312" w:cs="楷体_GB2312"/>
          <w:color w:val="000000" w:themeColor="text1"/>
          <w:sz w:val="32"/>
          <w:szCs w:val="30"/>
          <w:u w:val="none"/>
          <w14:textFill>
            <w14:solidFill>
              <w14:schemeClr w14:val="tx1"/>
            </w14:solidFill>
          </w14:textFill>
        </w:rPr>
        <w:t>提出申请。</w:t>
      </w:r>
      <w:r>
        <w:rPr>
          <w:rFonts w:hint="eastAsia" w:ascii="仿宋_GB2312" w:hAnsi="仿宋_GB2312" w:eastAsia="仿宋_GB2312" w:cs="仿宋_GB2312"/>
          <w:color w:val="000000" w:themeColor="text1"/>
          <w:sz w:val="32"/>
          <w:szCs w:val="30"/>
          <w:u w:val="none"/>
          <w14:textFill>
            <w14:solidFill>
              <w14:schemeClr w14:val="tx1"/>
            </w14:solidFill>
          </w14:textFill>
        </w:rPr>
        <w:t>申请人在规定的时间内登陆</w:t>
      </w:r>
      <w:r>
        <w:rPr>
          <w:rFonts w:hint="eastAsia" w:ascii="仿宋_GB2312" w:hAnsi="仿宋_GB2312" w:eastAsia="仿宋_GB2312" w:cs="仿宋_GB2312"/>
          <w:color w:val="000000" w:themeColor="text1"/>
          <w:sz w:val="32"/>
          <w:szCs w:val="30"/>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0"/>
          <w:u w:val="none"/>
          <w14:textFill>
            <w14:solidFill>
              <w14:schemeClr w14:val="tx1"/>
            </w14:solidFill>
          </w14:textFill>
        </w:rPr>
        <w:t>清城区义务教育招生管理系统</w:t>
      </w:r>
      <w:r>
        <w:rPr>
          <w:rFonts w:hint="eastAsia" w:ascii="仿宋_GB2312" w:hAnsi="仿宋_GB2312" w:eastAsia="仿宋_GB2312" w:cs="仿宋_GB2312"/>
          <w:color w:val="000000" w:themeColor="text1"/>
          <w:sz w:val="32"/>
          <w:szCs w:val="30"/>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0"/>
          <w:u w:val="none"/>
          <w14:textFill>
            <w14:solidFill>
              <w14:schemeClr w14:val="tx1"/>
            </w14:solidFill>
          </w14:textFill>
        </w:rPr>
        <w:t>，进入“清城区</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区外</w:t>
      </w:r>
      <w:r>
        <w:rPr>
          <w:rFonts w:hint="eastAsia" w:ascii="仿宋_GB2312" w:hAnsi="仿宋_GB2312" w:eastAsia="仿宋_GB2312" w:cs="仿宋_GB2312"/>
          <w:color w:val="000000" w:themeColor="text1"/>
          <w:sz w:val="32"/>
          <w:szCs w:val="30"/>
          <w:u w:val="none"/>
          <w14:textFill>
            <w14:solidFill>
              <w14:schemeClr w14:val="tx1"/>
            </w14:solidFill>
          </w14:textFill>
        </w:rPr>
        <w:t>户籍适龄儿童（少年）积分申请入读公办学校”页面，</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选定</w:t>
      </w:r>
      <w:r>
        <w:rPr>
          <w:rFonts w:hint="eastAsia" w:ascii="仿宋_GB2312" w:hAnsi="仿宋_GB2312" w:eastAsia="仿宋_GB2312" w:cs="仿宋_GB2312"/>
          <w:color w:val="000000" w:themeColor="text1"/>
          <w:sz w:val="32"/>
          <w:szCs w:val="30"/>
          <w:u w:val="none"/>
          <w14:textFill>
            <w14:solidFill>
              <w14:schemeClr w14:val="tx1"/>
            </w14:solidFill>
          </w14:textFill>
        </w:rPr>
        <w:t>本人或其监护人</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合法房产对应学区的学校</w:t>
      </w:r>
      <w:r>
        <w:rPr>
          <w:rFonts w:hint="eastAsia" w:ascii="仿宋_GB2312" w:hAnsi="仿宋_GB2312" w:eastAsia="仿宋_GB2312" w:cs="仿宋_GB2312"/>
          <w:color w:val="000000" w:themeColor="text1"/>
          <w:sz w:val="32"/>
          <w:szCs w:val="30"/>
          <w:u w:val="none"/>
          <w14:textFill>
            <w14:solidFill>
              <w14:schemeClr w14:val="tx1"/>
            </w14:solidFill>
          </w14:textFill>
        </w:rPr>
        <w:t>。</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按平台要求如实填报相关信息。</w:t>
      </w:r>
    </w:p>
    <w:p>
      <w:pPr>
        <w:pStyle w:val="12"/>
        <w:keepNext w:val="0"/>
        <w:keepLines w:val="0"/>
        <w:pageBreakBefore w:val="0"/>
        <w:widowControl w:val="0"/>
        <w:wordWrap/>
        <w:overflowPunct/>
        <w:topLinePunct w:val="0"/>
        <w:bidi w:val="0"/>
        <w:spacing w:line="520" w:lineRule="exact"/>
        <w:ind w:left="0" w:firstLine="640" w:firstLineChars="200"/>
        <w:rPr>
          <w:rFonts w:hint="default" w:ascii="仿宋_GB2312" w:hAnsi="仿宋_GB2312" w:eastAsia="仿宋_GB2312" w:cs="仿宋_GB2312"/>
          <w:color w:val="000000" w:themeColor="text1"/>
          <w:sz w:val="32"/>
          <w:szCs w:val="30"/>
          <w:u w:val="none"/>
          <w:lang w:val="en-US" w:eastAsia="zh-CN"/>
          <w14:textFill>
            <w14:solidFill>
              <w14:schemeClr w14:val="tx1"/>
            </w14:solidFill>
          </w14:textFill>
        </w:rPr>
      </w:pPr>
      <w:r>
        <w:rPr>
          <w:rFonts w:hint="eastAsia" w:ascii="楷体_GB2312" w:hAnsi="楷体_GB2312" w:eastAsia="楷体_GB2312" w:cs="楷体_GB2312"/>
          <w:color w:val="000000" w:themeColor="text1"/>
          <w:sz w:val="32"/>
          <w:szCs w:val="30"/>
          <w:u w:val="none"/>
          <w:lang w:val="en-US" w:eastAsia="zh-CN"/>
          <w14:textFill>
            <w14:solidFill>
              <w14:schemeClr w14:val="tx1"/>
            </w14:solidFill>
          </w14:textFill>
        </w:rPr>
        <w:t>2.</w:t>
      </w:r>
      <w:r>
        <w:rPr>
          <w:rFonts w:hint="eastAsia" w:ascii="楷体_GB2312" w:hAnsi="楷体_GB2312" w:eastAsia="楷体_GB2312" w:cs="楷体_GB2312"/>
          <w:color w:val="000000" w:themeColor="text1"/>
          <w:sz w:val="32"/>
          <w:szCs w:val="30"/>
          <w:u w:val="none"/>
          <w14:textFill>
            <w14:solidFill>
              <w14:schemeClr w14:val="tx1"/>
            </w14:solidFill>
          </w14:textFill>
        </w:rPr>
        <w:t>提交材料。</w:t>
      </w:r>
      <w:r>
        <w:rPr>
          <w:rFonts w:hint="eastAsia" w:ascii="仿宋_GB2312" w:hAnsi="仿宋_GB2312" w:eastAsia="仿宋_GB2312" w:cs="仿宋_GB2312"/>
          <w:color w:val="000000" w:themeColor="text1"/>
          <w:sz w:val="32"/>
          <w:szCs w:val="30"/>
          <w:u w:val="none"/>
          <w14:textFill>
            <w14:solidFill>
              <w14:schemeClr w14:val="tx1"/>
            </w14:solidFill>
          </w14:textFill>
        </w:rPr>
        <w:t>申请人在报名管理系统中填写和提交户籍、</w:t>
      </w:r>
      <w:r>
        <w:rPr>
          <w:rFonts w:hint="eastAsia" w:ascii="仿宋_GB2312" w:hAnsi="仿宋_GB2312" w:eastAsia="仿宋_GB2312" w:cs="仿宋_GB2312"/>
          <w:color w:val="000000" w:themeColor="text1"/>
          <w:sz w:val="32"/>
          <w:szCs w:val="30"/>
          <w:u w:val="none"/>
          <w:lang w:eastAsia="zh-CN"/>
          <w14:textFill>
            <w14:solidFill>
              <w14:schemeClr w14:val="tx1"/>
            </w14:solidFill>
          </w14:textFill>
        </w:rPr>
        <w:t>房产证明、</w:t>
      </w:r>
      <w:r>
        <w:rPr>
          <w:rFonts w:hint="eastAsia" w:ascii="仿宋_GB2312" w:hAnsi="仿宋_GB2312" w:eastAsia="仿宋_GB2312" w:cs="仿宋_GB2312"/>
          <w:color w:val="000000" w:themeColor="text1"/>
          <w:sz w:val="32"/>
          <w:szCs w:val="30"/>
          <w:u w:val="none"/>
          <w14:textFill>
            <w14:solidFill>
              <w14:schemeClr w14:val="tx1"/>
            </w14:solidFill>
          </w14:textFill>
        </w:rPr>
        <w:t>出生</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证等</w:t>
      </w:r>
      <w:r>
        <w:rPr>
          <w:rFonts w:hint="eastAsia" w:ascii="仿宋_GB2312" w:hAnsi="仿宋_GB2312" w:eastAsia="仿宋_GB2312" w:cs="仿宋_GB2312"/>
          <w:color w:val="000000" w:themeColor="text1"/>
          <w:sz w:val="32"/>
          <w:szCs w:val="30"/>
          <w:u w:val="none"/>
          <w14:textFill>
            <w14:solidFill>
              <w14:schemeClr w14:val="tx1"/>
            </w14:solidFill>
          </w14:textFill>
        </w:rPr>
        <w:t>材料后，按照系统上设置的积分项目，如实填报相关情况，并提交佐证材料</w:t>
      </w:r>
      <w:r>
        <w:rPr>
          <w:rFonts w:hint="eastAsia" w:ascii="仿宋_GB2312" w:hAnsi="仿宋_GB2312" w:eastAsia="仿宋_GB2312" w:cs="仿宋_GB2312"/>
          <w:color w:val="000000" w:themeColor="text1"/>
          <w:sz w:val="32"/>
          <w:szCs w:val="30"/>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积分资料计算截止至规定时间内。</w:t>
      </w:r>
    </w:p>
    <w:p>
      <w:pPr>
        <w:pStyle w:val="12"/>
        <w:keepNext w:val="0"/>
        <w:keepLines w:val="0"/>
        <w:pageBreakBefore w:val="0"/>
        <w:widowControl w:val="0"/>
        <w:wordWrap/>
        <w:overflowPunct/>
        <w:topLinePunct w:val="0"/>
        <w:bidi w:val="0"/>
        <w:spacing w:line="520" w:lineRule="exact"/>
        <w:ind w:left="0" w:firstLine="640" w:firstLineChars="200"/>
        <w:rPr>
          <w:rFonts w:hint="default" w:ascii="楷体_GB2312" w:hAnsi="楷体_GB2312" w:eastAsia="楷体_GB2312" w:cs="楷体_GB2312"/>
          <w:color w:val="000000" w:themeColor="text1"/>
          <w:sz w:val="32"/>
          <w:szCs w:val="30"/>
          <w:u w:val="none"/>
          <w:lang w:val="en-US" w:eastAsia="zh-CN"/>
          <w14:textFill>
            <w14:solidFill>
              <w14:schemeClr w14:val="tx1"/>
            </w14:solidFill>
          </w14:textFill>
        </w:rPr>
      </w:pPr>
      <w:r>
        <w:rPr>
          <w:rFonts w:hint="eastAsia" w:ascii="楷体_GB2312" w:hAnsi="楷体_GB2312" w:eastAsia="楷体_GB2312" w:cs="楷体_GB2312"/>
          <w:color w:val="000000" w:themeColor="text1"/>
          <w:sz w:val="32"/>
          <w:szCs w:val="30"/>
          <w:u w:val="none"/>
          <w:lang w:val="en-US" w:eastAsia="zh-CN"/>
          <w14:textFill>
            <w14:solidFill>
              <w14:schemeClr w14:val="tx1"/>
            </w14:solidFill>
          </w14:textFill>
        </w:rPr>
        <w:t>3.学校初审。</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各公办学校在平台上对申请人提交的相关信息和材料进行初审。</w:t>
      </w:r>
    </w:p>
    <w:p>
      <w:pPr>
        <w:pStyle w:val="12"/>
        <w:keepNext w:val="0"/>
        <w:keepLines w:val="0"/>
        <w:pageBreakBefore w:val="0"/>
        <w:widowControl w:val="0"/>
        <w:wordWrap/>
        <w:overflowPunct/>
        <w:topLinePunct w:val="0"/>
        <w:bidi w:val="0"/>
        <w:spacing w:line="520" w:lineRule="exact"/>
        <w:ind w:left="0" w:firstLine="640" w:firstLineChars="200"/>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楷体_GB2312" w:hAnsi="楷体_GB2312" w:eastAsia="楷体_GB2312" w:cs="楷体_GB2312"/>
          <w:color w:val="000000" w:themeColor="text1"/>
          <w:sz w:val="32"/>
          <w:szCs w:val="30"/>
          <w:u w:val="none"/>
          <w:lang w:val="en-US" w:eastAsia="zh-CN"/>
          <w14:textFill>
            <w14:solidFill>
              <w14:schemeClr w14:val="tx1"/>
            </w14:solidFill>
          </w14:textFill>
        </w:rPr>
        <w:t>4.</w:t>
      </w:r>
      <w:r>
        <w:rPr>
          <w:rFonts w:hint="eastAsia" w:ascii="楷体_GB2312" w:hAnsi="楷体_GB2312" w:eastAsia="楷体_GB2312" w:cs="楷体_GB2312"/>
          <w:color w:val="000000" w:themeColor="text1"/>
          <w:sz w:val="32"/>
          <w:szCs w:val="30"/>
          <w:u w:val="none"/>
          <w14:textFill>
            <w14:solidFill>
              <w14:schemeClr w14:val="tx1"/>
            </w14:solidFill>
          </w14:textFill>
        </w:rPr>
        <w:t>审核积分项目的材料。</w:t>
      </w:r>
      <w:r>
        <w:rPr>
          <w:rFonts w:hint="eastAsia" w:ascii="仿宋_GB2312" w:hAnsi="仿宋_GB2312" w:eastAsia="仿宋_GB2312" w:cs="仿宋_GB2312"/>
          <w:color w:val="000000" w:themeColor="text1"/>
          <w:sz w:val="32"/>
          <w:szCs w:val="30"/>
          <w:u w:val="none"/>
          <w14:textFill>
            <w14:solidFill>
              <w14:schemeClr w14:val="tx1"/>
            </w14:solidFill>
          </w14:textFill>
        </w:rPr>
        <w:t>在积分评审期间，教育部门连同公安、不动产、住建、社保、医保等相关职能部门对积分材料进行核实。</w:t>
      </w:r>
    </w:p>
    <w:p>
      <w:pPr>
        <w:pStyle w:val="12"/>
        <w:keepNext w:val="0"/>
        <w:keepLines w:val="0"/>
        <w:pageBreakBefore w:val="0"/>
        <w:widowControl w:val="0"/>
        <w:wordWrap/>
        <w:overflowPunct/>
        <w:topLinePunct w:val="0"/>
        <w:bidi w:val="0"/>
        <w:spacing w:line="520" w:lineRule="exact"/>
        <w:ind w:left="0" w:firstLine="640" w:firstLineChars="200"/>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仿宋_GB2312" w:hAnsi="仿宋_GB2312" w:eastAsia="仿宋_GB2312" w:cs="仿宋_GB2312"/>
          <w:color w:val="000000" w:themeColor="text1"/>
          <w:sz w:val="32"/>
          <w:szCs w:val="30"/>
          <w:u w:val="none"/>
          <w14:textFill>
            <w14:solidFill>
              <w14:schemeClr w14:val="tx1"/>
            </w14:solidFill>
          </w14:textFill>
        </w:rPr>
        <w:t>申请人的积分材料经审核未通过，相关职能部门要求补充材料的，申请人应在规定时间内按要求配合提供，否则视为放弃该项积分。</w:t>
      </w:r>
    </w:p>
    <w:p>
      <w:pPr>
        <w:pStyle w:val="12"/>
        <w:keepNext w:val="0"/>
        <w:keepLines w:val="0"/>
        <w:pageBreakBefore w:val="0"/>
        <w:widowControl w:val="0"/>
        <w:wordWrap/>
        <w:overflowPunct/>
        <w:topLinePunct w:val="0"/>
        <w:bidi w:val="0"/>
        <w:spacing w:line="520" w:lineRule="exact"/>
        <w:ind w:left="0" w:firstLine="640" w:firstLineChars="200"/>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楷体_GB2312" w:hAnsi="楷体_GB2312" w:eastAsia="楷体_GB2312" w:cs="楷体_GB2312"/>
          <w:color w:val="000000" w:themeColor="text1"/>
          <w:sz w:val="32"/>
          <w:szCs w:val="30"/>
          <w:u w:val="none"/>
          <w:lang w:val="en-US" w:eastAsia="zh-CN"/>
          <w14:textFill>
            <w14:solidFill>
              <w14:schemeClr w14:val="tx1"/>
            </w14:solidFill>
          </w14:textFill>
        </w:rPr>
        <w:t>5.</w:t>
      </w:r>
      <w:r>
        <w:rPr>
          <w:rFonts w:hint="eastAsia" w:ascii="楷体_GB2312" w:hAnsi="楷体_GB2312" w:eastAsia="楷体_GB2312" w:cs="楷体_GB2312"/>
          <w:color w:val="000000" w:themeColor="text1"/>
          <w:sz w:val="32"/>
          <w:szCs w:val="30"/>
          <w:u w:val="none"/>
          <w14:textFill>
            <w14:solidFill>
              <w14:schemeClr w14:val="tx1"/>
            </w14:solidFill>
          </w14:textFill>
        </w:rPr>
        <w:t>积分统计。</w:t>
      </w:r>
      <w:r>
        <w:rPr>
          <w:rFonts w:hint="eastAsia" w:ascii="仿宋_GB2312" w:hAnsi="仿宋_GB2312" w:eastAsia="仿宋_GB2312" w:cs="仿宋_GB2312"/>
          <w:color w:val="000000" w:themeColor="text1"/>
          <w:sz w:val="32"/>
          <w:szCs w:val="30"/>
          <w:u w:val="none"/>
          <w14:textFill>
            <w14:solidFill>
              <w14:schemeClr w14:val="tx1"/>
            </w14:solidFill>
          </w14:textFill>
        </w:rPr>
        <w:t>审核结束后，系统自动算出申请人各积分项目的得分情况，</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得出申请人</w:t>
      </w:r>
      <w:r>
        <w:rPr>
          <w:rFonts w:hint="eastAsia" w:ascii="仿宋_GB2312" w:hAnsi="仿宋_GB2312" w:eastAsia="仿宋_GB2312" w:cs="仿宋_GB2312"/>
          <w:color w:val="000000" w:themeColor="text1"/>
          <w:sz w:val="32"/>
          <w:szCs w:val="30"/>
          <w:u w:val="none"/>
          <w14:textFill>
            <w14:solidFill>
              <w14:schemeClr w14:val="tx1"/>
            </w14:solidFill>
          </w14:textFill>
        </w:rPr>
        <w:t>最终的积分</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和排名</w:t>
      </w:r>
      <w:r>
        <w:rPr>
          <w:rFonts w:hint="eastAsia" w:ascii="仿宋_GB2312" w:hAnsi="仿宋_GB2312" w:eastAsia="仿宋_GB2312" w:cs="仿宋_GB2312"/>
          <w:color w:val="000000" w:themeColor="text1"/>
          <w:sz w:val="32"/>
          <w:szCs w:val="30"/>
          <w:u w:val="none"/>
          <w14:textFill>
            <w14:solidFill>
              <w14:schemeClr w14:val="tx1"/>
            </w14:solidFill>
          </w14:textFill>
        </w:rPr>
        <w:t>。</w:t>
      </w:r>
    </w:p>
    <w:p>
      <w:pPr>
        <w:pStyle w:val="12"/>
        <w:keepNext w:val="0"/>
        <w:keepLines w:val="0"/>
        <w:pageBreakBefore w:val="0"/>
        <w:widowControl w:val="0"/>
        <w:wordWrap/>
        <w:overflowPunct/>
        <w:topLinePunct w:val="0"/>
        <w:bidi w:val="0"/>
        <w:spacing w:line="520" w:lineRule="exact"/>
        <w:ind w:left="0" w:firstLine="640" w:firstLineChars="200"/>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楷体_GB2312" w:hAnsi="楷体_GB2312" w:eastAsia="楷体_GB2312" w:cs="楷体_GB2312"/>
          <w:color w:val="000000" w:themeColor="text1"/>
          <w:sz w:val="32"/>
          <w:szCs w:val="30"/>
          <w:u w:val="none"/>
          <w:lang w:val="en-US" w:eastAsia="zh-CN"/>
          <w14:textFill>
            <w14:solidFill>
              <w14:schemeClr w14:val="tx1"/>
            </w14:solidFill>
          </w14:textFill>
        </w:rPr>
        <w:t>6.</w:t>
      </w:r>
      <w:r>
        <w:rPr>
          <w:rFonts w:hint="eastAsia" w:ascii="楷体_GB2312" w:hAnsi="楷体_GB2312" w:eastAsia="楷体_GB2312" w:cs="楷体_GB2312"/>
          <w:color w:val="000000" w:themeColor="text1"/>
          <w:sz w:val="32"/>
          <w:szCs w:val="30"/>
          <w:u w:val="none"/>
          <w14:textFill>
            <w14:solidFill>
              <w14:schemeClr w14:val="tx1"/>
            </w14:solidFill>
          </w14:textFill>
        </w:rPr>
        <w:t>积分分数公示。</w:t>
      </w:r>
      <w:r>
        <w:rPr>
          <w:rFonts w:hint="eastAsia" w:ascii="仿宋_GB2312" w:hAnsi="仿宋_GB2312" w:eastAsia="仿宋_GB2312" w:cs="仿宋_GB2312"/>
          <w:color w:val="000000" w:themeColor="text1"/>
          <w:sz w:val="32"/>
          <w:szCs w:val="30"/>
          <w:u w:val="none"/>
          <w14:textFill>
            <w14:solidFill>
              <w14:schemeClr w14:val="tx1"/>
            </w14:solidFill>
          </w14:textFill>
        </w:rPr>
        <w:t>积分统计结束，教育部门在“清城区义务教育招生管理系统”进行积分分数公示，公示期为5个工作日。申请人若对分数有异议，可在积分公示之日起5个工作日内到相关职能部门书面提出复核申请。公示期内未申请复核的视为认可积分分数，逾期不予受理。</w:t>
      </w:r>
    </w:p>
    <w:p>
      <w:pPr>
        <w:keepNext w:val="0"/>
        <w:keepLines w:val="0"/>
        <w:pageBreakBefore w:val="0"/>
        <w:wordWrap/>
        <w:overflowPunct/>
        <w:topLinePunct w:val="0"/>
        <w:bidi w:val="0"/>
        <w:spacing w:line="520" w:lineRule="exact"/>
        <w:ind w:left="640"/>
        <w:rPr>
          <w:rFonts w:hint="eastAsia" w:ascii="楷体_GB2312" w:hAnsi="楷体_GB2312" w:eastAsia="楷体_GB2312" w:cs="楷体_GB2312"/>
          <w:b/>
          <w:bCs/>
          <w:color w:val="000000" w:themeColor="text1"/>
          <w:sz w:val="32"/>
          <w:szCs w:val="32"/>
          <w:u w:val="none"/>
          <w14:textFill>
            <w14:solidFill>
              <w14:schemeClr w14:val="tx1"/>
            </w14:solidFill>
          </w14:textFill>
        </w:rPr>
      </w:pPr>
      <w:bookmarkStart w:id="6" w:name="_Toc19131"/>
      <w:bookmarkStart w:id="7" w:name="_Toc29666"/>
      <w:bookmarkStart w:id="8" w:name="_Toc3559"/>
      <w:bookmarkStart w:id="9" w:name="_Toc6318"/>
      <w:bookmarkStart w:id="10" w:name="_Toc19545"/>
      <w:bookmarkStart w:id="11" w:name="_Toc5707"/>
      <w:r>
        <w:rPr>
          <w:rFonts w:hint="eastAsia" w:ascii="楷体_GB2312" w:hAnsi="楷体_GB2312" w:eastAsia="楷体_GB2312" w:cs="楷体_GB2312"/>
          <w:b/>
          <w:bCs/>
          <w:color w:val="000000" w:themeColor="text1"/>
          <w:sz w:val="32"/>
          <w:szCs w:val="32"/>
          <w:u w:val="none"/>
          <w:lang w:val="en-US" w:eastAsia="zh-CN"/>
          <w14:textFill>
            <w14:solidFill>
              <w14:schemeClr w14:val="tx1"/>
            </w14:solidFill>
          </w14:textFill>
        </w:rPr>
        <w:t>（三</w:t>
      </w:r>
      <w:r>
        <w:rPr>
          <w:rFonts w:hint="eastAsia" w:ascii="楷体_GB2312" w:hAnsi="楷体_GB2312" w:eastAsia="楷体_GB2312" w:cs="楷体_GB2312"/>
          <w:b/>
          <w:bCs/>
          <w:color w:val="000000" w:themeColor="text1"/>
          <w:sz w:val="32"/>
          <w:szCs w:val="32"/>
          <w:u w:val="none"/>
          <w:lang w:eastAsia="zh-CN"/>
          <w14:textFill>
            <w14:solidFill>
              <w14:schemeClr w14:val="tx1"/>
            </w14:solidFill>
          </w14:textFill>
        </w:rPr>
        <w:t>）</w:t>
      </w:r>
      <w:r>
        <w:rPr>
          <w:rFonts w:hint="eastAsia" w:ascii="楷体_GB2312" w:hAnsi="楷体_GB2312" w:eastAsia="楷体_GB2312" w:cs="楷体_GB2312"/>
          <w:b/>
          <w:bCs/>
          <w:color w:val="000000" w:themeColor="text1"/>
          <w:sz w:val="32"/>
          <w:szCs w:val="32"/>
          <w:u w:val="none"/>
          <w14:textFill>
            <w14:solidFill>
              <w14:schemeClr w14:val="tx1"/>
            </w14:solidFill>
          </w14:textFill>
        </w:rPr>
        <w:t>派位规则</w:t>
      </w:r>
      <w:bookmarkEnd w:id="6"/>
      <w:bookmarkEnd w:id="7"/>
      <w:bookmarkEnd w:id="8"/>
      <w:bookmarkEnd w:id="9"/>
      <w:bookmarkEnd w:id="10"/>
      <w:bookmarkEnd w:id="11"/>
    </w:p>
    <w:p>
      <w:pPr>
        <w:keepNext w:val="0"/>
        <w:keepLines w:val="0"/>
        <w:pageBreakBefore w:val="0"/>
        <w:wordWrap/>
        <w:overflowPunct/>
        <w:topLinePunct w:val="0"/>
        <w:bidi w:val="0"/>
        <w:spacing w:line="520" w:lineRule="exact"/>
        <w:ind w:firstLine="640" w:firstLineChars="200"/>
        <w:rPr>
          <w:rFonts w:hint="eastAsia" w:ascii="仿宋_GB2312" w:hAnsi="仿宋_GB2312" w:eastAsia="仿宋_GB2312"/>
          <w:color w:val="000000" w:themeColor="text1"/>
          <w:sz w:val="32"/>
          <w:szCs w:val="32"/>
          <w:u w:val="none"/>
          <w14:textFill>
            <w14:solidFill>
              <w14:schemeClr w14:val="tx1"/>
            </w14:solidFill>
          </w14:textFill>
        </w:rPr>
      </w:pPr>
      <w:r>
        <w:rPr>
          <w:rFonts w:hint="eastAsia" w:ascii="仿宋_GB2312" w:hAnsi="仿宋_GB2312" w:eastAsia="仿宋_GB2312"/>
          <w:color w:val="000000" w:themeColor="text1"/>
          <w:sz w:val="32"/>
          <w:szCs w:val="32"/>
          <w:u w:val="none"/>
          <w:lang w:val="en-US" w:eastAsia="zh-CN"/>
          <w14:textFill>
            <w14:solidFill>
              <w14:schemeClr w14:val="tx1"/>
            </w14:solidFill>
          </w14:textFill>
        </w:rPr>
        <w:t>1.</w:t>
      </w:r>
      <w:r>
        <w:rPr>
          <w:rFonts w:hint="eastAsia" w:ascii="仿宋_GB2312" w:hAnsi="仿宋_GB2312" w:eastAsia="仿宋_GB2312"/>
          <w:color w:val="000000" w:themeColor="text1"/>
          <w:sz w:val="32"/>
          <w:szCs w:val="32"/>
          <w:u w:val="none"/>
          <w14:textFill>
            <w14:solidFill>
              <w14:schemeClr w14:val="tx1"/>
            </w14:solidFill>
          </w14:textFill>
        </w:rPr>
        <w:t>各公办学校按照学校招生计划，首先</w:t>
      </w:r>
      <w:r>
        <w:rPr>
          <w:rFonts w:hint="eastAsia" w:ascii="仿宋_GB2312" w:hAnsi="仿宋_GB2312" w:eastAsia="仿宋_GB2312"/>
          <w:color w:val="000000" w:themeColor="text1"/>
          <w:sz w:val="32"/>
          <w:szCs w:val="32"/>
          <w:u w:val="none"/>
          <w:lang w:val="en-US" w:eastAsia="zh-CN"/>
          <w14:textFill>
            <w14:solidFill>
              <w14:schemeClr w14:val="tx1"/>
            </w14:solidFill>
          </w14:textFill>
        </w:rPr>
        <w:t>派位</w:t>
      </w:r>
      <w:r>
        <w:rPr>
          <w:rFonts w:hint="eastAsia" w:ascii="仿宋_GB2312" w:hAnsi="仿宋_GB2312" w:eastAsia="仿宋_GB2312"/>
          <w:color w:val="000000" w:themeColor="text1"/>
          <w:sz w:val="32"/>
          <w:szCs w:val="32"/>
          <w:u w:val="none"/>
          <w14:textFill>
            <w14:solidFill>
              <w14:schemeClr w14:val="tx1"/>
            </w14:solidFill>
          </w14:textFill>
        </w:rPr>
        <w:t>学区内符合入读条件的清城区户籍的适龄儿童（少年）</w:t>
      </w:r>
      <w:r>
        <w:rPr>
          <w:rFonts w:hint="eastAsia" w:ascii="仿宋_GB2312" w:hAnsi="仿宋_GB2312" w:eastAsia="仿宋_GB2312"/>
          <w:color w:val="000000" w:themeColor="text1"/>
          <w:sz w:val="32"/>
          <w:szCs w:val="32"/>
          <w:u w:val="none"/>
          <w:lang w:eastAsia="zh-CN"/>
          <w14:textFill>
            <w14:solidFill>
              <w14:schemeClr w14:val="tx1"/>
            </w14:solidFill>
          </w14:textFill>
        </w:rPr>
        <w:t>；</w:t>
      </w:r>
      <w:r>
        <w:rPr>
          <w:rFonts w:hint="eastAsia" w:ascii="仿宋_GB2312" w:hAnsi="仿宋_GB2312" w:eastAsia="仿宋_GB2312"/>
          <w:color w:val="000000" w:themeColor="text1"/>
          <w:sz w:val="32"/>
          <w:szCs w:val="32"/>
          <w:u w:val="none"/>
          <w:lang w:val="en-US" w:eastAsia="zh-CN"/>
          <w14:textFill>
            <w14:solidFill>
              <w14:schemeClr w14:val="tx1"/>
            </w14:solidFill>
          </w14:textFill>
        </w:rPr>
        <w:t>其次是</w:t>
      </w:r>
      <w:r>
        <w:rPr>
          <w:rFonts w:hint="eastAsia" w:ascii="仿宋_GB2312" w:hAnsi="仿宋_GB2312" w:eastAsia="仿宋_GB2312"/>
          <w:color w:val="000000" w:themeColor="text1"/>
          <w:sz w:val="32"/>
          <w:szCs w:val="32"/>
          <w:u w:val="none"/>
          <w14:textFill>
            <w14:solidFill>
              <w14:schemeClr w14:val="tx1"/>
            </w14:solidFill>
          </w14:textFill>
        </w:rPr>
        <w:t>符合保障性入学政策的</w:t>
      </w:r>
      <w:r>
        <w:rPr>
          <w:rFonts w:hint="eastAsia" w:ascii="仿宋_GB2312" w:hAnsi="仿宋_GB2312" w:eastAsia="仿宋_GB2312"/>
          <w:color w:val="000000" w:themeColor="text1"/>
          <w:sz w:val="32"/>
          <w:szCs w:val="32"/>
          <w:u w:val="none"/>
          <w:lang w:val="en-US" w:eastAsia="zh-CN"/>
          <w14:textFill>
            <w14:solidFill>
              <w14:schemeClr w14:val="tx1"/>
            </w14:solidFill>
          </w14:textFill>
        </w:rPr>
        <w:t>四类</w:t>
      </w:r>
      <w:r>
        <w:rPr>
          <w:rFonts w:hint="eastAsia" w:ascii="仿宋_GB2312" w:hAnsi="仿宋_GB2312" w:eastAsia="仿宋_GB2312"/>
          <w:color w:val="000000" w:themeColor="text1"/>
          <w:sz w:val="32"/>
          <w:szCs w:val="32"/>
          <w:u w:val="none"/>
          <w14:textFill>
            <w14:solidFill>
              <w14:schemeClr w14:val="tx1"/>
            </w14:solidFill>
          </w14:textFill>
        </w:rPr>
        <w:t>适龄儿童（少年）</w:t>
      </w:r>
      <w:r>
        <w:rPr>
          <w:rFonts w:hint="eastAsia" w:ascii="仿宋_GB2312" w:hAnsi="仿宋_GB2312" w:eastAsia="仿宋_GB2312"/>
          <w:color w:val="000000" w:themeColor="text1"/>
          <w:sz w:val="32"/>
          <w:szCs w:val="32"/>
          <w:u w:val="none"/>
          <w:lang w:eastAsia="zh-CN"/>
          <w14:textFill>
            <w14:solidFill>
              <w14:schemeClr w14:val="tx1"/>
            </w14:solidFill>
          </w14:textFill>
        </w:rPr>
        <w:t>；最后按积分入学派位。</w:t>
      </w:r>
      <w:r>
        <w:rPr>
          <w:rFonts w:hint="eastAsia" w:ascii="仿宋_GB2312" w:hAnsi="仿宋_GB2312" w:eastAsia="仿宋_GB2312"/>
          <w:color w:val="000000" w:themeColor="text1"/>
          <w:sz w:val="32"/>
          <w:szCs w:val="32"/>
          <w:u w:val="none"/>
          <w:lang w:val="en-US" w:eastAsia="zh-CN"/>
          <w14:textFill>
            <w14:solidFill>
              <w14:schemeClr w14:val="tx1"/>
            </w14:solidFill>
          </w14:textFill>
        </w:rPr>
        <w:t>教育部门公布各</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“大学区”内学校</w:t>
      </w:r>
      <w:r>
        <w:rPr>
          <w:rFonts w:hint="eastAsia" w:ascii="仿宋_GB2312" w:hAnsi="仿宋_GB2312" w:eastAsia="仿宋_GB2312"/>
          <w:color w:val="000000" w:themeColor="text1"/>
          <w:sz w:val="32"/>
          <w:szCs w:val="32"/>
          <w:u w:val="none"/>
          <w14:textFill>
            <w14:solidFill>
              <w14:schemeClr w14:val="tx1"/>
            </w14:solidFill>
          </w14:textFill>
        </w:rPr>
        <w:t>剩余学位</w:t>
      </w:r>
      <w:r>
        <w:rPr>
          <w:rFonts w:hint="eastAsia" w:ascii="仿宋_GB2312" w:hAnsi="仿宋_GB2312" w:eastAsia="仿宋_GB2312"/>
          <w:color w:val="000000" w:themeColor="text1"/>
          <w:sz w:val="32"/>
          <w:szCs w:val="32"/>
          <w:u w:val="none"/>
          <w:lang w:val="en-US" w:eastAsia="zh-CN"/>
          <w14:textFill>
            <w14:solidFill>
              <w14:schemeClr w14:val="tx1"/>
            </w14:solidFill>
          </w14:textFill>
        </w:rPr>
        <w:t>情况</w:t>
      </w:r>
      <w:r>
        <w:rPr>
          <w:rFonts w:hint="eastAsia" w:ascii="仿宋_GB2312" w:hAnsi="仿宋_GB2312" w:eastAsia="仿宋_GB2312"/>
          <w:color w:val="000000" w:themeColor="text1"/>
          <w:sz w:val="32"/>
          <w:szCs w:val="32"/>
          <w:u w:val="none"/>
          <w14:textFill>
            <w14:solidFill>
              <w14:schemeClr w14:val="tx1"/>
            </w14:solidFill>
          </w14:textFill>
        </w:rPr>
        <w:t>，</w:t>
      </w:r>
      <w:r>
        <w:rPr>
          <w:rFonts w:hint="eastAsia" w:ascii="仿宋_GB2312" w:hAnsi="仿宋_GB2312" w:eastAsia="仿宋_GB2312"/>
          <w:color w:val="000000" w:themeColor="text1"/>
          <w:sz w:val="32"/>
          <w:szCs w:val="32"/>
          <w:u w:val="none"/>
          <w:lang w:val="en-US" w:eastAsia="zh-CN"/>
          <w14:textFill>
            <w14:solidFill>
              <w14:schemeClr w14:val="tx1"/>
            </w14:solidFill>
          </w14:textFill>
        </w:rPr>
        <w:t>申请人根据自身</w:t>
      </w:r>
      <w:r>
        <w:rPr>
          <w:rFonts w:hint="eastAsia" w:ascii="仿宋_GB2312" w:hAnsi="仿宋_GB2312" w:eastAsia="仿宋_GB2312" w:cs="仿宋_GB2312"/>
          <w:color w:val="000000" w:themeColor="text1"/>
          <w:sz w:val="32"/>
          <w:szCs w:val="30"/>
          <w:u w:val="none"/>
          <w14:textFill>
            <w14:solidFill>
              <w14:schemeClr w14:val="tx1"/>
            </w14:solidFill>
          </w14:textFill>
        </w:rPr>
        <w:t>积分</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情况</w:t>
      </w:r>
      <w:r>
        <w:rPr>
          <w:rFonts w:hint="eastAsia" w:ascii="仿宋_GB2312" w:hAnsi="仿宋_GB2312" w:eastAsia="仿宋_GB2312" w:cs="仿宋_GB2312"/>
          <w:color w:val="000000" w:themeColor="text1"/>
          <w:sz w:val="32"/>
          <w:szCs w:val="30"/>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结合个人实际，选择“大学区”内的多所学校作为</w:t>
      </w:r>
      <w:r>
        <w:rPr>
          <w:rFonts w:hint="eastAsia" w:ascii="仿宋_GB2312" w:hAnsi="仿宋_GB2312" w:eastAsia="仿宋_GB2312" w:cs="仿宋_GB2312"/>
          <w:color w:val="000000" w:themeColor="text1"/>
          <w:sz w:val="32"/>
          <w:szCs w:val="30"/>
          <w:u w:val="none"/>
          <w14:textFill>
            <w14:solidFill>
              <w14:schemeClr w14:val="tx1"/>
            </w14:solidFill>
          </w14:textFill>
        </w:rPr>
        <w:t>志愿学校</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填报</w:t>
      </w:r>
      <w:r>
        <w:rPr>
          <w:rFonts w:hint="eastAsia" w:ascii="仿宋_GB2312" w:hAnsi="仿宋_GB2312" w:eastAsia="仿宋_GB2312" w:cs="仿宋_GB2312"/>
          <w:color w:val="000000" w:themeColor="text1"/>
          <w:sz w:val="32"/>
          <w:szCs w:val="30"/>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教育部门通过招生系统</w:t>
      </w:r>
      <w:r>
        <w:rPr>
          <w:rFonts w:hint="eastAsia" w:ascii="仿宋_GB2312" w:hAnsi="仿宋_GB2312" w:eastAsia="仿宋_GB2312"/>
          <w:color w:val="000000" w:themeColor="text1"/>
          <w:sz w:val="32"/>
          <w:szCs w:val="32"/>
          <w:u w:val="none"/>
          <w14:textFill>
            <w14:solidFill>
              <w14:schemeClr w14:val="tx1"/>
            </w14:solidFill>
          </w14:textFill>
        </w:rPr>
        <w:t>按</w:t>
      </w:r>
      <w:r>
        <w:rPr>
          <w:rFonts w:hint="eastAsia" w:ascii="仿宋_GB2312" w:hAnsi="仿宋_GB2312" w:eastAsia="仿宋_GB2312"/>
          <w:color w:val="000000" w:themeColor="text1"/>
          <w:sz w:val="32"/>
          <w:szCs w:val="32"/>
          <w:u w:val="none"/>
          <w:lang w:val="en-US" w:eastAsia="zh-CN"/>
          <w14:textFill>
            <w14:solidFill>
              <w14:schemeClr w14:val="tx1"/>
            </w14:solidFill>
          </w14:textFill>
        </w:rPr>
        <w:t>申请人</w:t>
      </w:r>
      <w:r>
        <w:rPr>
          <w:rFonts w:hint="eastAsia" w:ascii="仿宋_GB2312" w:hAnsi="仿宋_GB2312" w:eastAsia="仿宋_GB2312"/>
          <w:color w:val="000000" w:themeColor="text1"/>
          <w:sz w:val="32"/>
          <w:szCs w:val="32"/>
          <w:u w:val="none"/>
          <w14:textFill>
            <w14:solidFill>
              <w14:schemeClr w14:val="tx1"/>
            </w14:solidFill>
          </w14:textFill>
        </w:rPr>
        <w:t>积分从高到低，按志愿先后顺序，进行录取</w:t>
      </w:r>
      <w:r>
        <w:rPr>
          <w:rFonts w:hint="eastAsia" w:ascii="仿宋_GB2312" w:hAnsi="仿宋_GB2312" w:eastAsia="仿宋_GB2312" w:cs="仿宋_GB2312"/>
          <w:color w:val="000000" w:themeColor="text1"/>
          <w:sz w:val="32"/>
          <w:szCs w:val="30"/>
          <w:u w:val="none"/>
          <w14:textFill>
            <w14:solidFill>
              <w14:schemeClr w14:val="tx1"/>
            </w14:solidFill>
          </w14:textFill>
        </w:rPr>
        <w:t>。</w:t>
      </w:r>
    </w:p>
    <w:p>
      <w:pPr>
        <w:keepNext w:val="0"/>
        <w:keepLines w:val="0"/>
        <w:pageBreakBefore w:val="0"/>
        <w:wordWrap/>
        <w:overflowPunct/>
        <w:topLinePunct w:val="0"/>
        <w:bidi w:val="0"/>
        <w:spacing w:line="520" w:lineRule="exact"/>
        <w:ind w:firstLine="640" w:firstLineChars="200"/>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仿宋_GB2312" w:hAnsi="仿宋_GB2312" w:eastAsia="仿宋_GB2312"/>
          <w:color w:val="000000" w:themeColor="text1"/>
          <w:sz w:val="32"/>
          <w:szCs w:val="32"/>
          <w:u w:val="none"/>
          <w:lang w:val="en-US" w:eastAsia="zh-CN"/>
          <w14:textFill>
            <w14:solidFill>
              <w14:schemeClr w14:val="tx1"/>
            </w14:solidFill>
          </w14:textFill>
        </w:rPr>
        <w:t>对未</w:t>
      </w:r>
      <w:r>
        <w:rPr>
          <w:rFonts w:hint="eastAsia" w:ascii="仿宋_GB2312" w:hAnsi="仿宋_GB2312" w:eastAsia="仿宋_GB2312"/>
          <w:color w:val="000000" w:themeColor="text1"/>
          <w:sz w:val="32"/>
          <w:szCs w:val="32"/>
          <w:u w:val="none"/>
          <w14:textFill>
            <w14:solidFill>
              <w14:schemeClr w14:val="tx1"/>
            </w14:solidFill>
          </w14:textFill>
        </w:rPr>
        <w:t>被</w:t>
      </w:r>
      <w:r>
        <w:rPr>
          <w:rFonts w:hint="eastAsia" w:ascii="仿宋_GB2312" w:hAnsi="仿宋_GB2312" w:eastAsia="仿宋_GB2312"/>
          <w:color w:val="000000" w:themeColor="text1"/>
          <w:sz w:val="32"/>
          <w:szCs w:val="32"/>
          <w:u w:val="none"/>
          <w:lang w:eastAsia="zh-CN"/>
          <w14:textFill>
            <w14:solidFill>
              <w14:schemeClr w14:val="tx1"/>
            </w14:solidFill>
          </w14:textFill>
        </w:rPr>
        <w:t>“</w:t>
      </w:r>
      <w:r>
        <w:rPr>
          <w:rFonts w:hint="eastAsia" w:ascii="仿宋_GB2312" w:hAnsi="仿宋_GB2312" w:eastAsia="仿宋_GB2312"/>
          <w:color w:val="000000" w:themeColor="text1"/>
          <w:sz w:val="32"/>
          <w:szCs w:val="32"/>
          <w:u w:val="none"/>
          <w:lang w:val="en-US" w:eastAsia="zh-CN"/>
          <w14:textFill>
            <w14:solidFill>
              <w14:schemeClr w14:val="tx1"/>
            </w14:solidFill>
          </w14:textFill>
        </w:rPr>
        <w:t>大学区</w:t>
      </w:r>
      <w:r>
        <w:rPr>
          <w:rFonts w:hint="eastAsia" w:ascii="仿宋_GB2312" w:hAnsi="仿宋_GB2312" w:eastAsia="仿宋_GB2312"/>
          <w:color w:val="000000" w:themeColor="text1"/>
          <w:sz w:val="32"/>
          <w:szCs w:val="32"/>
          <w:u w:val="none"/>
          <w:lang w:eastAsia="zh-CN"/>
          <w14:textFill>
            <w14:solidFill>
              <w14:schemeClr w14:val="tx1"/>
            </w14:solidFill>
          </w14:textFill>
        </w:rPr>
        <w:t>”</w:t>
      </w:r>
      <w:r>
        <w:rPr>
          <w:rFonts w:hint="eastAsia" w:ascii="仿宋_GB2312" w:hAnsi="仿宋_GB2312" w:eastAsia="仿宋_GB2312"/>
          <w:color w:val="000000" w:themeColor="text1"/>
          <w:sz w:val="32"/>
          <w:szCs w:val="32"/>
          <w:u w:val="none"/>
          <w:lang w:val="en-US" w:eastAsia="zh-CN"/>
          <w14:textFill>
            <w14:solidFill>
              <w14:schemeClr w14:val="tx1"/>
            </w14:solidFill>
          </w14:textFill>
        </w:rPr>
        <w:t>内志愿</w:t>
      </w:r>
      <w:r>
        <w:rPr>
          <w:rFonts w:hint="eastAsia" w:ascii="仿宋_GB2312" w:hAnsi="仿宋_GB2312" w:eastAsia="仿宋_GB2312"/>
          <w:color w:val="000000" w:themeColor="text1"/>
          <w:sz w:val="32"/>
          <w:szCs w:val="32"/>
          <w:u w:val="none"/>
          <w14:textFill>
            <w14:solidFill>
              <w14:schemeClr w14:val="tx1"/>
            </w14:solidFill>
          </w14:textFill>
        </w:rPr>
        <w:t>学校录取，</w:t>
      </w:r>
      <w:r>
        <w:rPr>
          <w:rFonts w:hint="eastAsia" w:ascii="仿宋_GB2312" w:hAnsi="仿宋_GB2312" w:eastAsia="仿宋_GB2312"/>
          <w:color w:val="000000" w:themeColor="text1"/>
          <w:sz w:val="32"/>
          <w:szCs w:val="32"/>
          <w:u w:val="none"/>
          <w:lang w:val="en-US" w:eastAsia="zh-CN"/>
          <w14:textFill>
            <w14:solidFill>
              <w14:schemeClr w14:val="tx1"/>
            </w14:solidFill>
          </w14:textFill>
        </w:rPr>
        <w:t>且</w:t>
      </w:r>
      <w:r>
        <w:rPr>
          <w:rFonts w:hint="eastAsia" w:ascii="仿宋_GB2312" w:hAnsi="仿宋_GB2312" w:eastAsia="仿宋_GB2312"/>
          <w:color w:val="000000" w:themeColor="text1"/>
          <w:sz w:val="32"/>
          <w:szCs w:val="32"/>
          <w:u w:val="none"/>
          <w14:textFill>
            <w14:solidFill>
              <w14:schemeClr w14:val="tx1"/>
            </w14:solidFill>
          </w14:textFill>
        </w:rPr>
        <w:t>家长选择“服从调剂”的</w:t>
      </w:r>
      <w:r>
        <w:rPr>
          <w:rFonts w:hint="eastAsia" w:ascii="仿宋_GB2312" w:hAnsi="仿宋_GB2312" w:eastAsia="仿宋_GB2312"/>
          <w:color w:val="000000" w:themeColor="text1"/>
          <w:sz w:val="32"/>
          <w:szCs w:val="32"/>
          <w:u w:val="none"/>
          <w:lang w:val="en-US" w:eastAsia="zh-CN"/>
          <w14:textFill>
            <w14:solidFill>
              <w14:schemeClr w14:val="tx1"/>
            </w14:solidFill>
          </w14:textFill>
        </w:rPr>
        <w:t>申请人</w:t>
      </w:r>
      <w:r>
        <w:rPr>
          <w:rFonts w:hint="eastAsia" w:ascii="仿宋_GB2312" w:hAnsi="仿宋_GB2312" w:eastAsia="仿宋_GB2312"/>
          <w:color w:val="000000" w:themeColor="text1"/>
          <w:sz w:val="32"/>
          <w:szCs w:val="32"/>
          <w:u w:val="none"/>
          <w14:textFill>
            <w14:solidFill>
              <w14:schemeClr w14:val="tx1"/>
            </w14:solidFill>
          </w14:textFill>
        </w:rPr>
        <w:t>，教育部门结合</w:t>
      </w:r>
      <w:r>
        <w:rPr>
          <w:rFonts w:hint="eastAsia" w:ascii="仿宋_GB2312" w:hAnsi="仿宋_GB2312" w:eastAsia="仿宋_GB2312"/>
          <w:color w:val="000000" w:themeColor="text1"/>
          <w:sz w:val="32"/>
          <w:szCs w:val="32"/>
          <w:u w:val="none"/>
          <w:lang w:val="en-US" w:eastAsia="zh-CN"/>
          <w14:textFill>
            <w14:solidFill>
              <w14:schemeClr w14:val="tx1"/>
            </w14:solidFill>
          </w14:textFill>
        </w:rPr>
        <w:t>全区公办</w:t>
      </w:r>
      <w:r>
        <w:rPr>
          <w:rFonts w:hint="eastAsia" w:ascii="仿宋_GB2312" w:hAnsi="仿宋_GB2312" w:eastAsia="仿宋_GB2312"/>
          <w:color w:val="000000" w:themeColor="text1"/>
          <w:sz w:val="32"/>
          <w:szCs w:val="32"/>
          <w:u w:val="none"/>
          <w14:textFill>
            <w14:solidFill>
              <w14:schemeClr w14:val="tx1"/>
            </w14:solidFill>
          </w14:textFill>
        </w:rPr>
        <w:t>学校学位情况，协调至有富余学位的公办学校。选择“不服从调剂”的</w:t>
      </w:r>
      <w:r>
        <w:rPr>
          <w:rFonts w:hint="eastAsia" w:ascii="仿宋_GB2312" w:hAnsi="仿宋_GB2312" w:eastAsia="仿宋_GB2312"/>
          <w:color w:val="000000" w:themeColor="text1"/>
          <w:sz w:val="32"/>
          <w:szCs w:val="32"/>
          <w:u w:val="none"/>
          <w:lang w:val="en-US" w:eastAsia="zh-CN"/>
          <w14:textFill>
            <w14:solidFill>
              <w14:schemeClr w14:val="tx1"/>
            </w14:solidFill>
          </w14:textFill>
        </w:rPr>
        <w:t>申请人</w:t>
      </w:r>
      <w:r>
        <w:rPr>
          <w:rFonts w:hint="eastAsia" w:ascii="仿宋_GB2312" w:hAnsi="仿宋_GB2312" w:eastAsia="仿宋_GB2312"/>
          <w:color w:val="000000" w:themeColor="text1"/>
          <w:sz w:val="32"/>
          <w:szCs w:val="32"/>
          <w:u w:val="none"/>
          <w14:textFill>
            <w14:solidFill>
              <w14:schemeClr w14:val="tx1"/>
            </w14:solidFill>
          </w14:textFill>
        </w:rPr>
        <w:t>，教育部门</w:t>
      </w:r>
      <w:r>
        <w:rPr>
          <w:rFonts w:hint="eastAsia" w:ascii="仿宋_GB2312" w:hAnsi="仿宋_GB2312" w:eastAsia="仿宋_GB2312"/>
          <w:color w:val="000000" w:themeColor="text1"/>
          <w:sz w:val="32"/>
          <w:szCs w:val="32"/>
          <w:u w:val="none"/>
          <w:lang w:val="en-US" w:eastAsia="zh-CN"/>
          <w14:textFill>
            <w14:solidFill>
              <w14:schemeClr w14:val="tx1"/>
            </w14:solidFill>
          </w14:textFill>
        </w:rPr>
        <w:t>将</w:t>
      </w:r>
      <w:r>
        <w:rPr>
          <w:rFonts w:hint="eastAsia" w:ascii="仿宋_GB2312" w:hAnsi="仿宋_GB2312" w:eastAsia="仿宋_GB2312"/>
          <w:color w:val="000000" w:themeColor="text1"/>
          <w:sz w:val="32"/>
          <w:szCs w:val="32"/>
          <w:u w:val="none"/>
          <w14:textFill>
            <w14:solidFill>
              <w14:schemeClr w14:val="tx1"/>
            </w14:solidFill>
          </w14:textFill>
        </w:rPr>
        <w:t>不再</w:t>
      </w:r>
      <w:r>
        <w:rPr>
          <w:rFonts w:hint="eastAsia" w:ascii="仿宋_GB2312" w:hAnsi="仿宋_GB2312" w:eastAsia="仿宋_GB2312"/>
          <w:color w:val="000000" w:themeColor="text1"/>
          <w:sz w:val="32"/>
          <w:szCs w:val="32"/>
          <w:u w:val="none"/>
          <w:lang w:val="en-US" w:eastAsia="zh-CN"/>
          <w14:textFill>
            <w14:solidFill>
              <w14:schemeClr w14:val="tx1"/>
            </w14:solidFill>
          </w14:textFill>
        </w:rPr>
        <w:t>对其</w:t>
      </w:r>
      <w:r>
        <w:rPr>
          <w:rFonts w:hint="eastAsia" w:ascii="仿宋_GB2312" w:hAnsi="仿宋_GB2312" w:eastAsia="仿宋_GB2312"/>
          <w:color w:val="000000" w:themeColor="text1"/>
          <w:sz w:val="32"/>
          <w:szCs w:val="32"/>
          <w:u w:val="none"/>
          <w14:textFill>
            <w14:solidFill>
              <w14:schemeClr w14:val="tx1"/>
            </w14:solidFill>
          </w14:textFill>
        </w:rPr>
        <w:t>安排公办学位，由</w:t>
      </w:r>
      <w:r>
        <w:rPr>
          <w:rFonts w:hint="eastAsia" w:ascii="仿宋_GB2312" w:hAnsi="仿宋_GB2312" w:eastAsia="仿宋_GB2312"/>
          <w:color w:val="000000" w:themeColor="text1"/>
          <w:sz w:val="32"/>
          <w:szCs w:val="32"/>
          <w:u w:val="none"/>
          <w:lang w:val="en-US" w:eastAsia="zh-CN"/>
          <w14:textFill>
            <w14:solidFill>
              <w14:schemeClr w14:val="tx1"/>
            </w14:solidFill>
          </w14:textFill>
        </w:rPr>
        <w:t>申请人</w:t>
      </w:r>
      <w:r>
        <w:rPr>
          <w:rFonts w:hint="eastAsia" w:ascii="仿宋_GB2312" w:hAnsi="仿宋_GB2312" w:eastAsia="仿宋_GB2312"/>
          <w:color w:val="000000" w:themeColor="text1"/>
          <w:sz w:val="32"/>
          <w:szCs w:val="32"/>
          <w:u w:val="none"/>
          <w14:textFill>
            <w14:solidFill>
              <w14:schemeClr w14:val="tx1"/>
            </w14:solidFill>
          </w14:textFill>
        </w:rPr>
        <w:t>自主选择民办学校或回户籍所在地学校就读。</w:t>
      </w:r>
      <w:r>
        <w:rPr>
          <w:rFonts w:hint="eastAsia" w:ascii="仿宋_GB2312" w:hAnsi="仿宋_GB2312" w:eastAsia="仿宋_GB2312" w:cs="仿宋_GB2312"/>
          <w:color w:val="000000" w:themeColor="text1"/>
          <w:sz w:val="32"/>
          <w:szCs w:val="30"/>
          <w:u w:val="none"/>
          <w14:textFill>
            <w14:solidFill>
              <w14:schemeClr w14:val="tx1"/>
            </w14:solidFill>
          </w14:textFill>
        </w:rPr>
        <w:t>积分分值及排名经公示后，不服从调剂</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的申请人</w:t>
      </w:r>
      <w:r>
        <w:rPr>
          <w:rFonts w:hint="eastAsia" w:ascii="仿宋_GB2312" w:hAnsi="仿宋_GB2312" w:eastAsia="仿宋_GB2312" w:cs="仿宋_GB2312"/>
          <w:color w:val="000000" w:themeColor="text1"/>
          <w:sz w:val="32"/>
          <w:szCs w:val="30"/>
          <w:u w:val="none"/>
          <w14:textFill>
            <w14:solidFill>
              <w14:schemeClr w14:val="tx1"/>
            </w14:solidFill>
          </w14:textFill>
        </w:rPr>
        <w:t>视为放弃协调资格。</w:t>
      </w:r>
      <w:bookmarkStart w:id="12" w:name="_Toc21857"/>
    </w:p>
    <w:p>
      <w:pPr>
        <w:pStyle w:val="12"/>
        <w:keepNext w:val="0"/>
        <w:keepLines w:val="0"/>
        <w:pageBreakBefore w:val="0"/>
        <w:widowControl w:val="0"/>
        <w:numPr>
          <w:ilvl w:val="0"/>
          <w:numId w:val="0"/>
        </w:numPr>
        <w:wordWrap/>
        <w:overflowPunct/>
        <w:topLinePunct w:val="0"/>
        <w:bidi w:val="0"/>
        <w:spacing w:line="520" w:lineRule="exact"/>
        <w:ind w:firstLine="640" w:firstLineChars="200"/>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2.符合积分制入学条件的申请人，若出现积分排序末位同分且超出当年学位计划的情况，依次按照以下项目次序进行录取：</w:t>
      </w:r>
    </w:p>
    <w:p>
      <w:pPr>
        <w:pStyle w:val="12"/>
        <w:keepNext w:val="0"/>
        <w:keepLines w:val="0"/>
        <w:pageBreakBefore w:val="0"/>
        <w:widowControl w:val="0"/>
        <w:numPr>
          <w:ilvl w:val="0"/>
          <w:numId w:val="0"/>
        </w:numPr>
        <w:wordWrap/>
        <w:overflowPunct/>
        <w:topLinePunct w:val="0"/>
        <w:bidi w:val="0"/>
        <w:spacing w:line="520" w:lineRule="exact"/>
        <w:ind w:firstLine="640" w:firstLineChars="200"/>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（1）报读一年级的申请人，按照报读房产的</w:t>
      </w:r>
      <w:r>
        <w:rPr>
          <w:rFonts w:hint="eastAsia" w:ascii="仿宋_GB2312" w:hAnsi="仿宋_GB2312" w:eastAsia="仿宋_GB2312" w:cs="仿宋_GB2312"/>
          <w:color w:val="000000" w:themeColor="text1"/>
          <w:sz w:val="32"/>
          <w:szCs w:val="30"/>
          <w:u w:val="none"/>
          <w14:textFill>
            <w14:solidFill>
              <w14:schemeClr w14:val="tx1"/>
            </w14:solidFill>
          </w14:textFill>
        </w:rPr>
        <w:t>购房时</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长积分排名。若</w:t>
      </w:r>
      <w:r>
        <w:rPr>
          <w:rFonts w:hint="eastAsia" w:ascii="仿宋_GB2312" w:hAnsi="仿宋_GB2312" w:eastAsia="仿宋_GB2312" w:cs="仿宋_GB2312"/>
          <w:color w:val="000000" w:themeColor="text1"/>
          <w:sz w:val="32"/>
          <w:szCs w:val="30"/>
          <w:u w:val="none"/>
          <w14:textFill>
            <w14:solidFill>
              <w14:schemeClr w14:val="tx1"/>
            </w14:solidFill>
          </w14:textFill>
        </w:rPr>
        <w:t>购房时</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长相同时，按照</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在清城区内</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 xml:space="preserve">缴纳养老、医疗保险积分排名。 </w:t>
      </w:r>
    </w:p>
    <w:p>
      <w:pPr>
        <w:pStyle w:val="12"/>
        <w:keepNext w:val="0"/>
        <w:keepLines w:val="0"/>
        <w:pageBreakBefore w:val="0"/>
        <w:widowControl w:val="0"/>
        <w:numPr>
          <w:ilvl w:val="0"/>
          <w:numId w:val="0"/>
        </w:numPr>
        <w:wordWrap/>
        <w:overflowPunct/>
        <w:topLinePunct w:val="0"/>
        <w:bidi w:val="0"/>
        <w:spacing w:line="520" w:lineRule="exact"/>
        <w:ind w:firstLine="640" w:firstLineChars="200"/>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（2）报读七年级的申请人，按照在清城区公民办小学学籍累计时长积分排名（按学期计算）。若小学学籍累计时长相同时，按照报读房产的</w:t>
      </w:r>
      <w:r>
        <w:rPr>
          <w:rFonts w:hint="eastAsia" w:ascii="仿宋_GB2312" w:hAnsi="仿宋_GB2312" w:eastAsia="仿宋_GB2312" w:cs="仿宋_GB2312"/>
          <w:color w:val="000000" w:themeColor="text1"/>
          <w:sz w:val="32"/>
          <w:szCs w:val="30"/>
          <w:u w:val="none"/>
          <w14:textFill>
            <w14:solidFill>
              <w14:schemeClr w14:val="tx1"/>
            </w14:solidFill>
          </w14:textFill>
        </w:rPr>
        <w:t>购房时</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长积分排名；若</w:t>
      </w:r>
      <w:r>
        <w:rPr>
          <w:rFonts w:hint="eastAsia" w:ascii="仿宋_GB2312" w:hAnsi="仿宋_GB2312" w:eastAsia="仿宋_GB2312" w:cs="仿宋_GB2312"/>
          <w:color w:val="000000" w:themeColor="text1"/>
          <w:sz w:val="32"/>
          <w:szCs w:val="30"/>
          <w:u w:val="none"/>
          <w14:textFill>
            <w14:solidFill>
              <w14:schemeClr w14:val="tx1"/>
            </w14:solidFill>
          </w14:textFill>
        </w:rPr>
        <w:t>购房时</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长相同时，按照</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在清城区内</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缴纳养老、医疗保险时长积分排名。</w:t>
      </w:r>
    </w:p>
    <w:bookmarkEnd w:id="12"/>
    <w:p>
      <w:pPr>
        <w:keepNext w:val="0"/>
        <w:keepLines w:val="0"/>
        <w:pageBreakBefore w:val="0"/>
        <w:wordWrap/>
        <w:overflowPunct/>
        <w:topLinePunct w:val="0"/>
        <w:autoSpaceDN w:val="0"/>
        <w:bidi w:val="0"/>
        <w:spacing w:line="520" w:lineRule="exact"/>
        <w:outlineLvl w:val="0"/>
        <w:rPr>
          <w:rFonts w:hint="eastAsia" w:ascii="仿宋_GB2312" w:hAnsi="仿宋_GB2312" w:eastAsia="仿宋_GB2312" w:cs="仿宋_GB2312"/>
          <w:b/>
          <w:bCs/>
          <w:color w:val="000000" w:themeColor="text1"/>
          <w:sz w:val="32"/>
          <w:szCs w:val="30"/>
          <w:u w:val="none"/>
          <w14:textFill>
            <w14:solidFill>
              <w14:schemeClr w14:val="tx1"/>
            </w14:solidFill>
          </w14:textFill>
        </w:rPr>
      </w:pPr>
      <w:r>
        <w:rPr>
          <w:rFonts w:hint="eastAsia" w:ascii="仿宋_GB2312" w:hAnsi="仿宋_GB2312" w:eastAsia="仿宋_GB2312" w:cs="仿宋_GB2312"/>
          <w:color w:val="000000" w:themeColor="text1"/>
          <w:sz w:val="32"/>
          <w:u w:val="none"/>
          <w14:textFill>
            <w14:solidFill>
              <w14:schemeClr w14:val="tx1"/>
            </w14:solidFill>
          </w14:textFill>
        </w:rPr>
        <w:t xml:space="preserve">   </w:t>
      </w:r>
      <w:r>
        <w:rPr>
          <w:rFonts w:hint="eastAsia" w:ascii="黑体" w:hAnsi="黑体" w:eastAsia="黑体" w:cs="仿宋_GB2312"/>
          <w:color w:val="000000" w:themeColor="text1"/>
          <w:sz w:val="32"/>
          <w:u w:val="none"/>
          <w14:textFill>
            <w14:solidFill>
              <w14:schemeClr w14:val="tx1"/>
            </w14:solidFill>
          </w14:textFill>
        </w:rPr>
        <w:t xml:space="preserve"> </w:t>
      </w:r>
      <w:r>
        <w:rPr>
          <w:rFonts w:hint="eastAsia" w:ascii="楷体_GB2312" w:hAnsi="楷体_GB2312" w:eastAsia="楷体_GB2312" w:cs="楷体_GB2312"/>
          <w:b/>
          <w:bCs/>
          <w:color w:val="000000" w:themeColor="text1"/>
          <w:sz w:val="32"/>
          <w:u w:val="none"/>
          <w:lang w:eastAsia="zh-CN"/>
          <w14:textFill>
            <w14:solidFill>
              <w14:schemeClr w14:val="tx1"/>
            </w14:solidFill>
          </w14:textFill>
        </w:rPr>
        <w:t>（</w:t>
      </w:r>
      <w:r>
        <w:rPr>
          <w:rFonts w:hint="eastAsia" w:ascii="楷体_GB2312" w:hAnsi="楷体_GB2312" w:eastAsia="楷体_GB2312" w:cs="楷体_GB2312"/>
          <w:b/>
          <w:bCs/>
          <w:color w:val="000000" w:themeColor="text1"/>
          <w:sz w:val="32"/>
          <w:u w:val="none"/>
          <w:lang w:val="en-US" w:eastAsia="zh-CN"/>
          <w14:textFill>
            <w14:solidFill>
              <w14:schemeClr w14:val="tx1"/>
            </w14:solidFill>
          </w14:textFill>
        </w:rPr>
        <w:t>四</w:t>
      </w:r>
      <w:r>
        <w:rPr>
          <w:rFonts w:hint="eastAsia" w:ascii="楷体_GB2312" w:hAnsi="楷体_GB2312" w:eastAsia="楷体_GB2312" w:cs="楷体_GB2312"/>
          <w:b/>
          <w:bCs/>
          <w:color w:val="000000" w:themeColor="text1"/>
          <w:sz w:val="32"/>
          <w:u w:val="none"/>
          <w:lang w:eastAsia="zh-CN"/>
          <w14:textFill>
            <w14:solidFill>
              <w14:schemeClr w14:val="tx1"/>
            </w14:solidFill>
          </w14:textFill>
        </w:rPr>
        <w:t>）</w:t>
      </w:r>
      <w:r>
        <w:rPr>
          <w:rFonts w:hint="eastAsia" w:ascii="楷体_GB2312" w:hAnsi="楷体_GB2312" w:eastAsia="楷体_GB2312" w:cs="楷体_GB2312"/>
          <w:b/>
          <w:bCs/>
          <w:color w:val="000000" w:themeColor="text1"/>
          <w:sz w:val="32"/>
          <w:u w:val="none"/>
          <w14:textFill>
            <w14:solidFill>
              <w14:schemeClr w14:val="tx1"/>
            </w14:solidFill>
          </w14:textFill>
        </w:rPr>
        <w:t>申请入学基本材料</w:t>
      </w:r>
      <w:r>
        <w:rPr>
          <w:rFonts w:hint="eastAsia" w:ascii="楷体_GB2312" w:hAnsi="楷体_GB2312" w:eastAsia="楷体_GB2312" w:cs="楷体_GB2312"/>
          <w:b/>
          <w:bCs/>
          <w:color w:val="000000" w:themeColor="text1"/>
          <w:sz w:val="32"/>
          <w:szCs w:val="30"/>
          <w:u w:val="none"/>
          <w14:textFill>
            <w14:solidFill>
              <w14:schemeClr w14:val="tx1"/>
            </w14:solidFill>
          </w14:textFill>
        </w:rPr>
        <w:t xml:space="preserve"> </w:t>
      </w:r>
    </w:p>
    <w:p>
      <w:pPr>
        <w:keepNext w:val="0"/>
        <w:keepLines w:val="0"/>
        <w:pageBreakBefore w:val="0"/>
        <w:wordWrap/>
        <w:overflowPunct/>
        <w:topLinePunct w:val="0"/>
        <w:bidi w:val="0"/>
        <w:spacing w:line="520" w:lineRule="exact"/>
        <w:ind w:firstLine="640"/>
        <w:rPr>
          <w:rFonts w:hint="eastAsia" w:ascii="仿宋_GB2312" w:hAnsi="仿宋_GB2312" w:eastAsia="仿宋_GB2312" w:cs="仿宋_GB2312"/>
          <w:color w:val="000000" w:themeColor="text1"/>
          <w:u w:val="none"/>
          <w14:textFill>
            <w14:solidFill>
              <w14:schemeClr w14:val="tx1"/>
            </w14:solidFill>
          </w14:textFill>
        </w:rPr>
      </w:pP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0"/>
          <w:u w:val="none"/>
          <w14:textFill>
            <w14:solidFill>
              <w14:schemeClr w14:val="tx1"/>
            </w14:solidFill>
          </w14:textFill>
        </w:rPr>
        <w:t>儿童（少年）及其法定监护人户口簿；</w:t>
      </w:r>
    </w:p>
    <w:p>
      <w:pPr>
        <w:keepNext w:val="0"/>
        <w:keepLines w:val="0"/>
        <w:pageBreakBefore w:val="0"/>
        <w:wordWrap/>
        <w:overflowPunct/>
        <w:topLinePunct w:val="0"/>
        <w:bidi w:val="0"/>
        <w:spacing w:line="520" w:lineRule="exact"/>
        <w:ind w:firstLine="640" w:firstLineChars="200"/>
        <w:rPr>
          <w:rFonts w:hint="eastAsia" w:ascii="仿宋_GB2312" w:hAnsi="仿宋_GB2312" w:eastAsia="仿宋_GB2312" w:cs="仿宋_GB2312"/>
          <w:color w:val="000000" w:themeColor="text1"/>
          <w:sz w:val="32"/>
          <w:szCs w:val="30"/>
          <w:u w:val="none"/>
          <w14:textFill>
            <w14:solidFill>
              <w14:schemeClr w14:val="tx1"/>
            </w14:solidFill>
          </w14:textFill>
        </w:rPr>
      </w:pP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0"/>
          <w:u w:val="none"/>
          <w14:textFill>
            <w14:solidFill>
              <w14:schemeClr w14:val="tx1"/>
            </w14:solidFill>
          </w14:textFill>
        </w:rPr>
        <w:t>儿童（少年）出生证；</w:t>
      </w:r>
    </w:p>
    <w:p>
      <w:pPr>
        <w:keepNext w:val="0"/>
        <w:keepLines w:val="0"/>
        <w:pageBreakBefore w:val="0"/>
        <w:wordWrap/>
        <w:overflowPunct/>
        <w:topLinePunct w:val="0"/>
        <w:bidi w:val="0"/>
        <w:spacing w:line="520" w:lineRule="exact"/>
        <w:ind w:firstLine="640"/>
        <w:rPr>
          <w:rFonts w:hint="eastAsia"/>
          <w:color w:val="000000" w:themeColor="text1"/>
          <w:u w:val="none"/>
          <w14:textFill>
            <w14:solidFill>
              <w14:schemeClr w14:val="tx1"/>
            </w14:solidFill>
          </w14:textFill>
        </w:rPr>
      </w:pP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0"/>
          <w:u w:val="none"/>
          <w14:textFill>
            <w14:solidFill>
              <w14:schemeClr w14:val="tx1"/>
            </w14:solidFill>
          </w14:textFill>
        </w:rPr>
        <w:t>儿童（少年）</w:t>
      </w:r>
      <w:r>
        <w:rPr>
          <w:rFonts w:hint="eastAsia" w:ascii="仿宋_GB2312" w:hAnsi="仿宋_GB2312" w:eastAsia="仿宋_GB2312" w:cs="仿宋_GB2312"/>
          <w:color w:val="000000" w:themeColor="text1"/>
          <w:sz w:val="32"/>
          <w:szCs w:val="30"/>
          <w:u w:val="none"/>
          <w:lang w:val="en-US" w:eastAsia="zh-CN"/>
          <w14:textFill>
            <w14:solidFill>
              <w14:schemeClr w14:val="tx1"/>
            </w14:solidFill>
          </w14:textFill>
        </w:rPr>
        <w:t>本人或其法定监护人房产证明。</w:t>
      </w:r>
    </w:p>
    <w:p>
      <w:pPr>
        <w:keepNext w:val="0"/>
        <w:keepLines w:val="0"/>
        <w:pageBreakBefore w:val="0"/>
        <w:wordWrap/>
        <w:overflowPunct/>
        <w:topLinePunct w:val="0"/>
        <w:autoSpaceDN w:val="0"/>
        <w:bidi w:val="0"/>
        <w:spacing w:line="520" w:lineRule="exact"/>
        <w:ind w:firstLine="643" w:firstLineChars="200"/>
        <w:outlineLvl w:val="0"/>
        <w:rPr>
          <w:rFonts w:hint="eastAsia" w:ascii="楷体_GB2312" w:hAnsi="楷体_GB2312" w:eastAsia="楷体_GB2312" w:cs="楷体_GB2312"/>
          <w:b/>
          <w:bCs/>
          <w:color w:val="000000" w:themeColor="text1"/>
          <w:sz w:val="32"/>
          <w:u w:val="none"/>
          <w14:textFill>
            <w14:solidFill>
              <w14:schemeClr w14:val="tx1"/>
            </w14:solidFill>
          </w14:textFill>
        </w:rPr>
      </w:pPr>
      <w:r>
        <w:rPr>
          <w:rFonts w:hint="eastAsia" w:ascii="楷体_GB2312" w:hAnsi="楷体_GB2312" w:eastAsia="楷体_GB2312" w:cs="楷体_GB2312"/>
          <w:b/>
          <w:bCs/>
          <w:color w:val="000000" w:themeColor="text1"/>
          <w:sz w:val="32"/>
          <w:u w:val="none"/>
          <w:lang w:val="en-US" w:eastAsia="zh-CN"/>
          <w14:textFill>
            <w14:solidFill>
              <w14:schemeClr w14:val="tx1"/>
            </w14:solidFill>
          </w14:textFill>
        </w:rPr>
        <w:t>（五）</w:t>
      </w:r>
      <w:r>
        <w:rPr>
          <w:rFonts w:hint="eastAsia" w:ascii="楷体_GB2312" w:hAnsi="楷体_GB2312" w:eastAsia="楷体_GB2312" w:cs="楷体_GB2312"/>
          <w:b/>
          <w:bCs/>
          <w:color w:val="000000" w:themeColor="text1"/>
          <w:sz w:val="32"/>
          <w:u w:val="none"/>
          <w14:textFill>
            <w14:solidFill>
              <w14:schemeClr w14:val="tx1"/>
            </w14:solidFill>
          </w14:textFill>
        </w:rPr>
        <w:t>积分指标及材料标准</w:t>
      </w:r>
    </w:p>
    <w:p>
      <w:pPr>
        <w:pStyle w:val="6"/>
        <w:keepNext w:val="0"/>
        <w:keepLines w:val="0"/>
        <w:pageBreakBefore w:val="0"/>
        <w:widowControl/>
        <w:shd w:val="clear" w:color="auto" w:fill="FFFFFF"/>
        <w:wordWrap/>
        <w:overflowPunct/>
        <w:topLinePunct w:val="0"/>
        <w:bidi w:val="0"/>
        <w:spacing w:before="0" w:beforeAutospacing="0" w:after="0" w:afterAutospacing="0" w:line="520" w:lineRule="exact"/>
        <w:ind w:firstLine="703" w:firstLineChars="200"/>
        <w:rPr>
          <w:rFonts w:hint="eastAsia" w:ascii="仿宋_GB2312" w:hAnsi="仿宋_GB2312" w:eastAsia="仿宋_GB2312" w:cs="仿宋_GB2312"/>
          <w:b/>
          <w:bCs/>
          <w:color w:val="000000" w:themeColor="text1"/>
          <w:spacing w:val="15"/>
          <w:sz w:val="32"/>
          <w:szCs w:val="32"/>
          <w:u w:val="none"/>
          <w14:textFill>
            <w14:solidFill>
              <w14:schemeClr w14:val="tx1"/>
            </w14:solidFill>
          </w14:textFill>
        </w:rPr>
      </w:pPr>
      <w:bookmarkStart w:id="13" w:name="_Toc18344"/>
      <w:r>
        <w:rPr>
          <w:rFonts w:hint="eastAsia" w:ascii="仿宋_GB2312" w:hAnsi="仿宋_GB2312" w:eastAsia="仿宋_GB2312" w:cs="仿宋_GB2312"/>
          <w:b/>
          <w:bCs/>
          <w:color w:val="000000" w:themeColor="text1"/>
          <w:spacing w:val="15"/>
          <w:sz w:val="32"/>
          <w:szCs w:val="32"/>
          <w:u w:val="none"/>
          <w:shd w:val="clear" w:color="auto" w:fill="FFFFFF"/>
          <w:lang w:val="en-US" w:eastAsia="zh-CN"/>
          <w14:textFill>
            <w14:solidFill>
              <w14:schemeClr w14:val="tx1"/>
            </w14:solidFill>
          </w14:textFill>
        </w:rPr>
        <w:t>1.</w:t>
      </w:r>
      <w:r>
        <w:rPr>
          <w:rStyle w:val="10"/>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t>基础指标</w:t>
      </w:r>
    </w:p>
    <w:p>
      <w:pPr>
        <w:pStyle w:val="6"/>
        <w:keepNext w:val="0"/>
        <w:keepLines w:val="0"/>
        <w:pageBreakBefore w:val="0"/>
        <w:widowControl/>
        <w:shd w:val="clear" w:color="auto" w:fill="FFFFFF"/>
        <w:wordWrap/>
        <w:overflowPunct/>
        <w:topLinePunct w:val="0"/>
        <w:bidi w:val="0"/>
        <w:spacing w:before="0" w:beforeAutospacing="0" w:after="0" w:afterAutospacing="0" w:line="520" w:lineRule="exact"/>
        <w:ind w:firstLine="703" w:firstLineChars="200"/>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pPr>
      <w:r>
        <w:rPr>
          <w:rStyle w:val="10"/>
          <w:rFonts w:hint="eastAsia" w:ascii="仿宋_GB2312" w:hAnsi="仿宋_GB2312" w:eastAsia="仿宋_GB2312" w:cs="仿宋_GB2312"/>
          <w:bCs/>
          <w:color w:val="000000" w:themeColor="text1"/>
          <w:spacing w:val="15"/>
          <w:sz w:val="32"/>
          <w:szCs w:val="32"/>
          <w:u w:val="none"/>
          <w:shd w:val="clear" w:color="auto" w:fill="FFFFFF"/>
          <w:lang w:eastAsia="zh-CN"/>
          <w14:textFill>
            <w14:solidFill>
              <w14:schemeClr w14:val="tx1"/>
            </w14:solidFill>
          </w14:textFill>
        </w:rPr>
        <w:t>（</w:t>
      </w:r>
      <w:r>
        <w:rPr>
          <w:rStyle w:val="10"/>
          <w:rFonts w:hint="eastAsia" w:ascii="仿宋_GB2312" w:hAnsi="仿宋_GB2312" w:eastAsia="仿宋_GB2312" w:cs="仿宋_GB2312"/>
          <w:bCs/>
          <w:color w:val="000000" w:themeColor="text1"/>
          <w:spacing w:val="15"/>
          <w:sz w:val="32"/>
          <w:szCs w:val="32"/>
          <w:u w:val="none"/>
          <w:shd w:val="clear" w:color="auto" w:fill="FFFFFF"/>
          <w14:textFill>
            <w14:solidFill>
              <w14:schemeClr w14:val="tx1"/>
            </w14:solidFill>
          </w14:textFill>
        </w:rPr>
        <w:t>1</w:t>
      </w:r>
      <w:r>
        <w:rPr>
          <w:rStyle w:val="10"/>
          <w:rFonts w:hint="eastAsia" w:ascii="仿宋_GB2312" w:hAnsi="仿宋_GB2312" w:eastAsia="仿宋_GB2312" w:cs="仿宋_GB2312"/>
          <w:bCs/>
          <w:color w:val="000000" w:themeColor="text1"/>
          <w:spacing w:val="15"/>
          <w:sz w:val="32"/>
          <w:szCs w:val="32"/>
          <w:u w:val="none"/>
          <w:shd w:val="clear" w:color="auto" w:fill="FFFFFF"/>
          <w:lang w:eastAsia="zh-CN"/>
          <w14:textFill>
            <w14:solidFill>
              <w14:schemeClr w14:val="tx1"/>
            </w14:solidFill>
          </w14:textFill>
        </w:rPr>
        <w:t>）</w:t>
      </w:r>
      <w:r>
        <w:rPr>
          <w:rStyle w:val="10"/>
          <w:rFonts w:hint="eastAsia" w:ascii="仿宋_GB2312" w:hAnsi="仿宋_GB2312" w:eastAsia="仿宋_GB2312" w:cs="仿宋_GB2312"/>
          <w:bCs/>
          <w:color w:val="000000" w:themeColor="text1"/>
          <w:spacing w:val="15"/>
          <w:sz w:val="32"/>
          <w:szCs w:val="32"/>
          <w:u w:val="none"/>
          <w:shd w:val="clear" w:color="auto" w:fill="FFFFFF"/>
          <w14:textFill>
            <w14:solidFill>
              <w14:schemeClr w14:val="tx1"/>
            </w14:solidFill>
          </w14:textFill>
        </w:rPr>
        <w:t>合法房产</w:t>
      </w:r>
      <w:r>
        <w:rPr>
          <w:rStyle w:val="10"/>
          <w:rFonts w:hint="eastAsia" w:ascii="仿宋_GB2312" w:hAnsi="仿宋_GB2312" w:eastAsia="仿宋_GB2312" w:cs="仿宋_GB2312"/>
          <w:bCs/>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得分标准：本人或其法定监护人在清城区学校学区内拥有</w:t>
      </w:r>
      <w:r>
        <w:rPr>
          <w:rFonts w:hint="eastAsia" w:ascii="仿宋_GB2312" w:hAnsi="仿宋_GB2312" w:eastAsia="仿宋_GB2312" w:cs="仿宋_GB2312"/>
          <w:color w:val="000000" w:themeColor="text1"/>
          <w:sz w:val="32"/>
          <w:szCs w:val="32"/>
          <w:u w:val="none"/>
          <w14:textFill>
            <w14:solidFill>
              <w14:schemeClr w14:val="tx1"/>
            </w14:solidFill>
          </w14:textFill>
        </w:rPr>
        <w:t>的</w:t>
      </w:r>
      <w:r>
        <w:rPr>
          <w:rFonts w:hint="eastAsia" w:ascii="仿宋_GB2312" w:eastAsia="仿宋_GB2312"/>
          <w:color w:val="000000" w:themeColor="text1"/>
          <w:sz w:val="32"/>
          <w:szCs w:val="30"/>
          <w:u w:val="none"/>
          <w14:textFill>
            <w14:solidFill>
              <w14:schemeClr w14:val="tx1"/>
            </w14:solidFill>
          </w14:textFill>
        </w:rPr>
        <w:t>合法房产</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，按该房产</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的建筑面积和购买时长</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计分</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若某个学校学区内拥有多套合法房产的，</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只</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能</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按其中一套</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房产的建筑面积和购买时长</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计分</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若房产为不完</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全</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房产，按权属占比计分。</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textAlignment w:val="baseline"/>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①以该房产房产证或不动产权证上的建筑面积计算，每平方米计1分</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最高</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计</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110</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分。若</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未进行房产登记</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的，以正规购房合同</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上的</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建筑面积计分。</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textAlignment w:val="baseline"/>
        <w:rPr>
          <w:rFonts w:hint="default"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②以该房产的房产证或不动产权证</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书</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登记时间算起，每1个月计1分。</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若未办理</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房产证或不动产权证</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书的，以该房产办理不动产权证书缴交契税（即办理完税证明）的时间算起。</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700" w:firstLineChars="200"/>
        <w:textAlignment w:val="baseline"/>
        <w:rPr>
          <w:rFonts w:hint="eastAsia" w:ascii="仿宋_GB2312" w:hAnsi="仿宋_GB2312" w:eastAsia="仿宋_GB2312" w:cs="仿宋_GB2312"/>
          <w:bCs/>
          <w:color w:val="000000" w:themeColor="text1"/>
          <w:sz w:val="32"/>
          <w:szCs w:val="32"/>
          <w:u w:val="none"/>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③若房产为本人或其法定监护人与他人</w:t>
      </w:r>
      <w:r>
        <w:rPr>
          <w:rFonts w:hint="eastAsia" w:ascii="仿宋_GB2312" w:hAnsi="仿宋_GB2312" w:eastAsia="仿宋_GB2312" w:cs="仿宋_GB2312"/>
          <w:bCs/>
          <w:color w:val="000000" w:themeColor="text1"/>
          <w:sz w:val="32"/>
          <w:szCs w:val="32"/>
          <w:u w:val="none"/>
          <w14:textFill>
            <w14:solidFill>
              <w14:schemeClr w14:val="tx1"/>
            </w14:solidFill>
          </w14:textFill>
        </w:rPr>
        <w:t>共有（权属占比51%或以上，即不完全房产），按照房产证或不动产权证书上的</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建筑面积和</w:t>
      </w:r>
      <w:r>
        <w:rPr>
          <w:rFonts w:hint="eastAsia" w:ascii="仿宋_GB2312" w:hAnsi="仿宋_GB2312" w:eastAsia="仿宋_GB2312" w:cs="仿宋_GB2312"/>
          <w:bCs/>
          <w:color w:val="000000" w:themeColor="text1"/>
          <w:sz w:val="32"/>
          <w:szCs w:val="32"/>
          <w:u w:val="none"/>
          <w14:textFill>
            <w14:solidFill>
              <w14:schemeClr w14:val="tx1"/>
            </w14:solidFill>
          </w14:textFill>
        </w:rPr>
        <w:t>权属比例进行计</w:t>
      </w:r>
      <w:r>
        <w:rPr>
          <w:rFonts w:hint="eastAsia" w:ascii="仿宋_GB2312" w:hAnsi="仿宋_GB2312" w:eastAsia="仿宋_GB2312" w:cs="仿宋_GB2312"/>
          <w:bCs/>
          <w:color w:val="000000" w:themeColor="text1"/>
          <w:sz w:val="32"/>
          <w:szCs w:val="32"/>
          <w:u w:val="none"/>
          <w:lang w:val="en-US" w:eastAsia="zh-CN"/>
          <w14:textFill>
            <w14:solidFill>
              <w14:schemeClr w14:val="tx1"/>
            </w14:solidFill>
          </w14:textFill>
        </w:rPr>
        <w:t>分，</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最高可计</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110</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分</w:t>
      </w:r>
      <w:r>
        <w:rPr>
          <w:rFonts w:hint="eastAsia" w:ascii="仿宋_GB2312" w:hAnsi="仿宋_GB2312" w:eastAsia="仿宋_GB2312" w:cs="仿宋_GB2312"/>
          <w:bCs/>
          <w:color w:val="000000" w:themeColor="text1"/>
          <w:sz w:val="32"/>
          <w:szCs w:val="32"/>
          <w:u w:val="none"/>
          <w14:textFill>
            <w14:solidFill>
              <w14:schemeClr w14:val="tx1"/>
            </w14:solidFill>
          </w14:textFill>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703" w:firstLineChars="200"/>
        <w:textAlignment w:val="baseline"/>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t>提交材料：</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bCs/>
          <w:color w:val="000000" w:themeColor="text1"/>
          <w:sz w:val="32"/>
          <w:szCs w:val="32"/>
          <w:u w:val="none"/>
          <w14:textFill>
            <w14:solidFill>
              <w14:schemeClr w14:val="tx1"/>
            </w14:solidFill>
          </w14:textFill>
        </w:rPr>
      </w:pPr>
      <w:r>
        <w:rPr>
          <w:rFonts w:hint="eastAsia" w:ascii="仿宋_GB2312" w:hAnsi="仿宋_GB2312" w:eastAsia="仿宋_GB2312" w:cs="仿宋_GB2312"/>
          <w:bCs/>
          <w:color w:val="000000" w:themeColor="text1"/>
          <w:sz w:val="32"/>
          <w:szCs w:val="32"/>
          <w:u w:val="none"/>
          <w14:textFill>
            <w14:solidFill>
              <w14:schemeClr w14:val="tx1"/>
            </w14:solidFill>
          </w14:textFill>
        </w:rPr>
        <w:t>①清城区内的合法房产，需提供房产证</w:t>
      </w:r>
      <w:r>
        <w:rPr>
          <w:rFonts w:hint="eastAsia" w:ascii="仿宋_GB2312" w:hAnsi="仿宋_GB2312" w:eastAsia="仿宋_GB2312" w:cs="仿宋_GB2312"/>
          <w:bCs/>
          <w:color w:val="000000" w:themeColor="text1"/>
          <w:sz w:val="32"/>
          <w:szCs w:val="32"/>
          <w:u w:val="none"/>
          <w:lang w:eastAsia="zh-CN"/>
          <w14:textFill>
            <w14:solidFill>
              <w14:schemeClr w14:val="tx1"/>
            </w14:solidFill>
          </w14:textFill>
        </w:rPr>
        <w:t>或</w:t>
      </w:r>
      <w:r>
        <w:rPr>
          <w:rFonts w:hint="eastAsia" w:ascii="仿宋_GB2312" w:hAnsi="仿宋_GB2312" w:eastAsia="仿宋_GB2312" w:cs="仿宋_GB2312"/>
          <w:bCs/>
          <w:color w:val="000000" w:themeColor="text1"/>
          <w:sz w:val="32"/>
          <w:szCs w:val="32"/>
          <w:u w:val="none"/>
          <w14:textFill>
            <w14:solidFill>
              <w14:schemeClr w14:val="tx1"/>
            </w14:solidFill>
          </w14:textFill>
        </w:rPr>
        <w:t>不动产权证书（含土地使用证、房屋所有权证书或房地产权证书，共有的房屋提交共有产权证）</w:t>
      </w:r>
      <w:r>
        <w:rPr>
          <w:rFonts w:hint="eastAsia" w:ascii="仿宋_GB2312" w:hAnsi="仿宋_GB2312" w:eastAsia="仿宋_GB2312" w:cs="仿宋_GB2312"/>
          <w:bCs/>
          <w:color w:val="000000" w:themeColor="text1"/>
          <w:sz w:val="32"/>
          <w:szCs w:val="32"/>
          <w:u w:val="none"/>
          <w:lang w:eastAsia="zh-CN"/>
          <w14:textFill>
            <w14:solidFill>
              <w14:schemeClr w14:val="tx1"/>
            </w14:solidFill>
          </w14:textFill>
        </w:rPr>
        <w:t>，</w:t>
      </w:r>
      <w:r>
        <w:rPr>
          <w:rFonts w:hint="eastAsia" w:ascii="仿宋_GB2312" w:hAnsi="仿宋_GB2312" w:eastAsia="仿宋_GB2312" w:cs="仿宋_GB2312"/>
          <w:bCs/>
          <w:color w:val="000000" w:themeColor="text1"/>
          <w:sz w:val="32"/>
          <w:szCs w:val="32"/>
          <w:u w:val="none"/>
          <w:lang w:val="en-US" w:eastAsia="zh-CN"/>
          <w14:textFill>
            <w14:solidFill>
              <w14:schemeClr w14:val="tx1"/>
            </w14:solidFill>
          </w14:textFill>
        </w:rPr>
        <w:t>或通过“粤省事”数字空间授权用证的广东省不动产权电子证书。</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640" w:firstLineChars="200"/>
        <w:textAlignment w:val="baseline"/>
        <w:rPr>
          <w:rFonts w:hint="eastAsia" w:ascii="仿宋_GB2312" w:hAnsi="仿宋_GB2312" w:eastAsia="仿宋_GB2312" w:cs="仿宋_GB2312"/>
          <w:color w:val="000000" w:themeColor="text1"/>
          <w:sz w:val="32"/>
          <w:u w:val="none"/>
          <w14:textFill>
            <w14:solidFill>
              <w14:schemeClr w14:val="tx1"/>
            </w14:solidFill>
          </w14:textFill>
        </w:rPr>
      </w:pPr>
      <w:r>
        <w:rPr>
          <w:rFonts w:hint="eastAsia" w:ascii="仿宋_GB2312" w:hAnsi="仿宋_GB2312" w:eastAsia="仿宋_GB2312" w:cs="仿宋_GB2312"/>
          <w:bCs/>
          <w:color w:val="000000" w:themeColor="text1"/>
          <w:sz w:val="32"/>
          <w:szCs w:val="32"/>
          <w:u w:val="none"/>
          <w14:textFill>
            <w14:solidFill>
              <w14:schemeClr w14:val="tx1"/>
            </w14:solidFill>
          </w14:textFill>
        </w:rPr>
        <w:t>②清城区内的合法房产，若不动产权证书</w:t>
      </w:r>
      <w:r>
        <w:rPr>
          <w:rFonts w:hint="eastAsia" w:ascii="仿宋_GB2312" w:hAnsi="仿宋_GB2312" w:eastAsia="仿宋_GB2312" w:cs="仿宋_GB2312"/>
          <w:color w:val="000000" w:themeColor="text1"/>
          <w:sz w:val="32"/>
          <w:u w:val="none"/>
          <w14:textFill>
            <w14:solidFill>
              <w14:schemeClr w14:val="tx1"/>
            </w14:solidFill>
          </w14:textFill>
        </w:rPr>
        <w:t>尚未办理的，提供住房管理部门统一样本的购房合同原件（须有住房管理部门的备案号）和</w:t>
      </w:r>
      <w:r>
        <w:rPr>
          <w:rFonts w:hint="eastAsia" w:ascii="仿宋_GB2312" w:hAnsi="仿宋_GB2312" w:eastAsia="仿宋_GB2312" w:cs="仿宋_GB2312"/>
          <w:color w:val="000000" w:themeColor="text1"/>
          <w:sz w:val="32"/>
          <w:szCs w:val="30"/>
          <w:u w:val="none"/>
          <w14:textFill>
            <w14:solidFill>
              <w14:schemeClr w14:val="tx1"/>
            </w14:solidFill>
          </w14:textFill>
        </w:rPr>
        <w:t>完税证明，并出具本人或法定监护人的《不动产查询证明》</w:t>
      </w:r>
      <w:r>
        <w:rPr>
          <w:rFonts w:hint="eastAsia" w:ascii="仿宋_GB2312" w:hAnsi="仿宋_GB2312" w:eastAsia="仿宋_GB2312" w:cs="仿宋_GB2312"/>
          <w:color w:val="000000" w:themeColor="text1"/>
          <w:sz w:val="32"/>
          <w:u w:val="none"/>
          <w14:textFill>
            <w14:solidFill>
              <w14:schemeClr w14:val="tx1"/>
            </w14:solidFill>
          </w14:textFill>
        </w:rPr>
        <w:t>。</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textAlignment w:val="baseline"/>
        <w:rPr>
          <w:rFonts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 xml:space="preserve">   </w:t>
      </w:r>
      <w:r>
        <w:rPr>
          <w:rFonts w:hint="eastAsia" w:ascii="仿宋_GB2312" w:hAnsi="仿宋_GB2312" w:eastAsia="仿宋_GB2312" w:cs="仿宋_GB2312"/>
          <w:b/>
          <w:bCs/>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t>2</w:t>
      </w:r>
      <w:r>
        <w:rPr>
          <w:rFonts w:hint="eastAsia" w:ascii="仿宋_GB2312" w:hAnsi="仿宋_GB2312" w:eastAsia="仿宋_GB2312" w:cs="仿宋_GB2312"/>
          <w:b/>
          <w:bCs/>
          <w:color w:val="000000" w:themeColor="text1"/>
          <w:spacing w:val="15"/>
          <w:sz w:val="32"/>
          <w:szCs w:val="32"/>
          <w:u w:val="none"/>
          <w:shd w:val="clear" w:color="auto" w:fill="FFFFFF"/>
          <w:lang w:eastAsia="zh-CN"/>
          <w14:textFill>
            <w14:solidFill>
              <w14:schemeClr w14:val="tx1"/>
            </w14:solidFill>
          </w14:textFill>
        </w:rPr>
        <w:t>）</w:t>
      </w:r>
      <w:r>
        <w:rPr>
          <w:rStyle w:val="10"/>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t>社会保险</w:t>
      </w:r>
      <w:r>
        <w:rPr>
          <w:rStyle w:val="10"/>
          <w:rFonts w:hint="eastAsia" w:ascii="仿宋_GB2312" w:hAnsi="仿宋_GB2312" w:eastAsia="仿宋_GB2312" w:cs="仿宋_GB2312"/>
          <w:b/>
          <w:bCs/>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得分标准：法定监护人</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近五年</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在清城区就业</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创业并</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缴纳</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社会保险（指养老和医疗保险）的，分项计算，每1</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个</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月计</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0.5</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分</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其法定监护人的积分可合并计算</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外地转入社保、补缴的不计算年限和积分。</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3" w:firstLineChars="200"/>
        <w:textAlignment w:val="baseline"/>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t>提交材料：</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textAlignment w:val="baseline"/>
        <w:rPr>
          <w:rFonts w:hint="eastAsia" w:ascii="仿宋_GB2312" w:hAnsi="仿宋_GB2312" w:eastAsia="仿宋_GB2312" w:cs="仿宋_GB2312"/>
          <w:bCs/>
          <w:color w:val="000000" w:themeColor="text1"/>
          <w:sz w:val="32"/>
          <w:szCs w:val="32"/>
          <w:u w:val="none"/>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近五年</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清城区社会保险参保证明材料（</w:t>
      </w:r>
      <w:r>
        <w:rPr>
          <w:rFonts w:hint="eastAsia" w:ascii="仿宋_GB2312" w:hAnsi="仿宋_GB2312" w:eastAsia="仿宋_GB2312" w:cs="仿宋_GB2312"/>
          <w:color w:val="000000" w:themeColor="text1"/>
          <w:kern w:val="2"/>
          <w:sz w:val="32"/>
          <w:szCs w:val="32"/>
          <w:u w:val="none"/>
          <w14:textFill>
            <w14:solidFill>
              <w14:schemeClr w14:val="tx1"/>
            </w14:solidFill>
          </w14:textFill>
        </w:rPr>
        <w:t>可通过政务服务窗口自助打印《</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广东省社会保险个人参保</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证</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明</w:t>
      </w:r>
      <w:r>
        <w:rPr>
          <w:rFonts w:hint="eastAsia" w:ascii="仿宋_GB2312" w:hAnsi="仿宋_GB2312" w:eastAsia="仿宋_GB2312" w:cs="仿宋_GB2312"/>
          <w:color w:val="000000" w:themeColor="text1"/>
          <w:kern w:val="2"/>
          <w:sz w:val="32"/>
          <w:szCs w:val="32"/>
          <w:u w:val="none"/>
          <w14:textFill>
            <w14:solidFill>
              <w14:schemeClr w14:val="tx1"/>
            </w14:solidFill>
          </w14:textFill>
        </w:rPr>
        <w:t>》</w:t>
      </w:r>
      <w:r>
        <w:rPr>
          <w:rFonts w:hint="eastAsia" w:ascii="仿宋_GB2312" w:hAnsi="仿宋_GB2312" w:eastAsia="仿宋_GB2312" w:cs="仿宋_GB2312"/>
          <w:bCs/>
          <w:color w:val="000000" w:themeColor="text1"/>
          <w:sz w:val="32"/>
          <w:szCs w:val="32"/>
          <w:u w:val="none"/>
          <w14:textFill>
            <w14:solidFill>
              <w14:schemeClr w14:val="tx1"/>
            </w14:solidFill>
          </w14:textFill>
        </w:rPr>
        <w:t>）。</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3" w:firstLineChars="200"/>
        <w:textAlignment w:val="baseline"/>
        <w:rPr>
          <w:rFonts w:hint="eastAsia" w:ascii="楷体_GB2312" w:hAnsi="楷体_GB2312" w:eastAsia="楷体_GB2312" w:cs="楷体_GB2312"/>
          <w:b/>
          <w:bCs/>
          <w:color w:val="000000" w:themeColor="text1"/>
          <w:spacing w:val="15"/>
          <w:sz w:val="32"/>
          <w:szCs w:val="32"/>
          <w:u w:val="none"/>
          <w14:textFill>
            <w14:solidFill>
              <w14:schemeClr w14:val="tx1"/>
            </w14:solidFill>
          </w14:textFill>
        </w:rPr>
      </w:pPr>
      <w:r>
        <w:rPr>
          <w:rFonts w:hint="eastAsia" w:ascii="楷体_GB2312" w:hAnsi="楷体_GB2312" w:eastAsia="楷体_GB2312" w:cs="楷体_GB2312"/>
          <w:b/>
          <w:bCs/>
          <w:color w:val="000000" w:themeColor="text1"/>
          <w:spacing w:val="15"/>
          <w:sz w:val="32"/>
          <w:szCs w:val="32"/>
          <w:u w:val="none"/>
          <w:shd w:val="clear" w:color="auto" w:fill="FFFFFF"/>
          <w:lang w:val="en-US" w:eastAsia="zh-CN"/>
          <w14:textFill>
            <w14:solidFill>
              <w14:schemeClr w14:val="tx1"/>
            </w14:solidFill>
          </w14:textFill>
        </w:rPr>
        <w:t>2.</w:t>
      </w:r>
      <w:r>
        <w:rPr>
          <w:rStyle w:val="10"/>
          <w:rFonts w:hint="eastAsia" w:ascii="楷体_GB2312" w:hAnsi="楷体_GB2312" w:eastAsia="楷体_GB2312" w:cs="楷体_GB2312"/>
          <w:bCs/>
          <w:color w:val="000000" w:themeColor="text1"/>
          <w:spacing w:val="15"/>
          <w:sz w:val="32"/>
          <w:szCs w:val="32"/>
          <w:u w:val="none"/>
          <w:shd w:val="clear" w:color="auto" w:fill="FFFFFF"/>
          <w14:textFill>
            <w14:solidFill>
              <w14:schemeClr w14:val="tx1"/>
            </w14:solidFill>
          </w14:textFill>
        </w:rPr>
        <w:t>加分指标</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3" w:firstLineChars="200"/>
        <w:textAlignment w:val="baseline"/>
        <w:rPr>
          <w:rFonts w:hint="eastAsia" w:ascii="仿宋_GB2312" w:hAnsi="仿宋_GB2312" w:eastAsia="仿宋_GB2312" w:cs="仿宋_GB2312"/>
          <w:color w:val="000000" w:themeColor="text1"/>
          <w:spacing w:val="15"/>
          <w:sz w:val="32"/>
          <w:szCs w:val="32"/>
          <w:u w:val="none"/>
          <w:lang w:eastAsia="zh-CN"/>
          <w14:textFill>
            <w14:solidFill>
              <w14:schemeClr w14:val="tx1"/>
            </w14:solidFill>
          </w14:textFill>
        </w:rPr>
      </w:pPr>
      <w:r>
        <w:rPr>
          <w:rStyle w:val="10"/>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Style w:val="10"/>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1</w:t>
      </w:r>
      <w:r>
        <w:rPr>
          <w:rStyle w:val="10"/>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Style w:val="10"/>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社会贡献</w:t>
      </w:r>
      <w:r>
        <w:rPr>
          <w:rStyle w:val="10"/>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Style w:val="10"/>
          <w:rFonts w:hint="eastAsia" w:ascii="仿宋_GB2312" w:hAnsi="仿宋_GB2312" w:eastAsia="仿宋_GB2312" w:cs="仿宋_GB2312"/>
          <w:b w:val="0"/>
          <w:bCs/>
          <w:color w:val="000000" w:themeColor="text1"/>
          <w:spacing w:val="15"/>
          <w:sz w:val="32"/>
          <w:szCs w:val="32"/>
          <w:u w:val="none"/>
          <w:shd w:val="clear" w:color="auto" w:fill="FFFFFF"/>
          <w14:textFill>
            <w14:solidFill>
              <w14:schemeClr w14:val="tx1"/>
            </w14:solidFill>
          </w14:textFill>
        </w:rPr>
        <w:t>得分标准：法定监护人近五年在清城区</w:t>
      </w:r>
      <w:r>
        <w:rPr>
          <w:rStyle w:val="10"/>
          <w:rFonts w:hint="eastAsia" w:ascii="仿宋_GB2312" w:hAnsi="仿宋_GB2312" w:eastAsia="仿宋_GB2312" w:cs="仿宋_GB2312"/>
          <w:b w:val="0"/>
          <w:bCs/>
          <w:color w:val="000000" w:themeColor="text1"/>
          <w:spacing w:val="15"/>
          <w:sz w:val="32"/>
          <w:szCs w:val="32"/>
          <w:u w:val="none"/>
          <w:shd w:val="clear" w:color="auto" w:fill="FFFFFF"/>
          <w:lang w:val="en-US" w:eastAsia="zh-CN"/>
          <w14:textFill>
            <w14:solidFill>
              <w14:schemeClr w14:val="tx1"/>
            </w14:solidFill>
          </w14:textFill>
        </w:rPr>
        <w:t>参与相关</w:t>
      </w:r>
      <w:r>
        <w:rPr>
          <w:rStyle w:val="10"/>
          <w:rFonts w:hint="eastAsia" w:ascii="仿宋_GB2312" w:hAnsi="仿宋_GB2312" w:eastAsia="仿宋_GB2312" w:cs="仿宋_GB2312"/>
          <w:b w:val="0"/>
          <w:bCs/>
          <w:color w:val="000000" w:themeColor="text1"/>
          <w:spacing w:val="15"/>
          <w:sz w:val="32"/>
          <w:szCs w:val="32"/>
          <w:u w:val="none"/>
          <w:shd w:val="clear" w:color="auto" w:fill="FFFFFF"/>
          <w14:textFill>
            <w14:solidFill>
              <w14:schemeClr w14:val="tx1"/>
            </w14:solidFill>
          </w14:textFill>
        </w:rPr>
        <w:t>社会服务的</w:t>
      </w:r>
      <w:r>
        <w:rPr>
          <w:rStyle w:val="10"/>
          <w:rFonts w:hint="eastAsia" w:ascii="仿宋_GB2312" w:hAnsi="仿宋_GB2312" w:eastAsia="仿宋_GB2312" w:cs="仿宋_GB2312"/>
          <w:b w:val="0"/>
          <w:bCs/>
          <w:color w:val="000000" w:themeColor="text1"/>
          <w:spacing w:val="15"/>
          <w:sz w:val="32"/>
          <w:szCs w:val="32"/>
          <w:u w:val="none"/>
          <w:shd w:val="clear" w:color="auto" w:fill="FFFFFF"/>
          <w:lang w:eastAsia="zh-CN"/>
          <w14:textFill>
            <w14:solidFill>
              <w14:schemeClr w14:val="tx1"/>
            </w14:solidFill>
          </w14:textFill>
        </w:rPr>
        <w:t>，</w:t>
      </w:r>
      <w:r>
        <w:rPr>
          <w:rStyle w:val="10"/>
          <w:rFonts w:hint="eastAsia" w:ascii="仿宋_GB2312" w:hAnsi="仿宋_GB2312" w:eastAsia="仿宋_GB2312" w:cs="仿宋_GB2312"/>
          <w:b w:val="0"/>
          <w:bCs/>
          <w:color w:val="000000" w:themeColor="text1"/>
          <w:spacing w:val="15"/>
          <w:sz w:val="32"/>
          <w:szCs w:val="32"/>
          <w:u w:val="none"/>
          <w:shd w:val="clear" w:color="auto" w:fill="FFFFFF"/>
          <w14:textFill>
            <w14:solidFill>
              <w14:schemeClr w14:val="tx1"/>
            </w14:solidFill>
          </w14:textFill>
        </w:rPr>
        <w:t>按以下标准计分</w:t>
      </w:r>
      <w:r>
        <w:rPr>
          <w:rStyle w:val="10"/>
          <w:rFonts w:hint="eastAsia" w:ascii="仿宋_GB2312" w:hAnsi="仿宋_GB2312" w:eastAsia="仿宋_GB2312" w:cs="仿宋_GB2312"/>
          <w:b w:val="0"/>
          <w:bCs/>
          <w:color w:val="000000" w:themeColor="text1"/>
          <w:spacing w:val="15"/>
          <w:sz w:val="32"/>
          <w:szCs w:val="32"/>
          <w:u w:val="none"/>
          <w:shd w:val="clear" w:color="auto" w:fill="FFFFFF"/>
          <w:lang w:eastAsia="zh-CN"/>
          <w14:textFill>
            <w14:solidFill>
              <w14:schemeClr w14:val="tx1"/>
            </w14:solidFill>
          </w14:textFill>
        </w:rPr>
        <w:t>：</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textAlignment w:val="baseline"/>
        <w:rPr>
          <w:rFonts w:hint="default"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①在清城区内</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参与</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志愿</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服务</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活动，每满5小时</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计</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1分，</w:t>
      </w:r>
      <w:r>
        <w:rPr>
          <w:rStyle w:val="10"/>
          <w:rFonts w:hint="eastAsia" w:ascii="仿宋_GB2312" w:hAnsi="仿宋_GB2312" w:eastAsia="仿宋_GB2312" w:cs="仿宋_GB2312"/>
          <w:b w:val="0"/>
          <w:bCs/>
          <w:color w:val="000000" w:themeColor="text1"/>
          <w:spacing w:val="15"/>
          <w:sz w:val="32"/>
          <w:szCs w:val="32"/>
          <w:u w:val="none"/>
          <w:shd w:val="clear" w:color="auto" w:fill="FFFFFF"/>
          <w:lang w:val="en-US" w:eastAsia="zh-CN"/>
          <w14:textFill>
            <w14:solidFill>
              <w14:schemeClr w14:val="tx1"/>
            </w14:solidFill>
          </w14:textFill>
        </w:rPr>
        <w:t>本人或其</w:t>
      </w:r>
      <w:r>
        <w:rPr>
          <w:rStyle w:val="10"/>
          <w:rFonts w:hint="eastAsia" w:ascii="仿宋_GB2312" w:hAnsi="仿宋_GB2312" w:eastAsia="仿宋_GB2312" w:cs="仿宋_GB2312"/>
          <w:b w:val="0"/>
          <w:bCs/>
          <w:color w:val="000000" w:themeColor="text1"/>
          <w:spacing w:val="15"/>
          <w:sz w:val="32"/>
          <w:szCs w:val="32"/>
          <w:u w:val="none"/>
          <w:shd w:val="clear" w:color="auto" w:fill="FFFFFF"/>
          <w14:textFill>
            <w14:solidFill>
              <w14:schemeClr w14:val="tx1"/>
            </w14:solidFill>
          </w14:textFill>
        </w:rPr>
        <w:t>法定监护人</w:t>
      </w:r>
      <w:r>
        <w:rPr>
          <w:rStyle w:val="10"/>
          <w:rFonts w:hint="eastAsia" w:ascii="仿宋_GB2312" w:hAnsi="仿宋_GB2312" w:eastAsia="仿宋_GB2312" w:cs="仿宋_GB2312"/>
          <w:b w:val="0"/>
          <w:bCs/>
          <w:color w:val="000000" w:themeColor="text1"/>
          <w:spacing w:val="15"/>
          <w:sz w:val="32"/>
          <w:szCs w:val="32"/>
          <w:u w:val="none"/>
          <w:shd w:val="clear" w:color="auto" w:fill="FFFFFF"/>
          <w:lang w:val="en-US" w:eastAsia="zh-CN"/>
          <w14:textFill>
            <w14:solidFill>
              <w14:schemeClr w14:val="tx1"/>
            </w14:solidFill>
          </w14:textFill>
        </w:rPr>
        <w:t>的积分可合并计算，</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最高计</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10</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分。</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703" w:firstLineChars="200"/>
        <w:textAlignment w:val="baseline"/>
        <w:rPr>
          <w:rFonts w:hint="eastAsia" w:ascii="仿宋_GB2312" w:hAnsi="仿宋_GB2312" w:eastAsia="仿宋_GB2312" w:cs="仿宋_GB2312"/>
          <w:b/>
          <w:bCs/>
          <w:color w:val="000000" w:themeColor="text1"/>
          <w:spacing w:val="15"/>
          <w:kern w:val="0"/>
          <w:sz w:val="32"/>
          <w:szCs w:val="32"/>
          <w:u w:val="none"/>
          <w:shd w:val="clear" w:color="auto" w:fill="FFFFFF"/>
          <w:lang w:bidi="ar"/>
          <w14:textFill>
            <w14:solidFill>
              <w14:schemeClr w14:val="tx1"/>
            </w14:solidFill>
          </w14:textFill>
        </w:rPr>
      </w:pPr>
      <w:r>
        <w:rPr>
          <w:rFonts w:hint="eastAsia" w:ascii="仿宋_GB2312" w:hAnsi="仿宋_GB2312" w:eastAsia="仿宋_GB2312" w:cs="仿宋_GB2312"/>
          <w:b/>
          <w:bCs/>
          <w:color w:val="000000" w:themeColor="text1"/>
          <w:spacing w:val="15"/>
          <w:kern w:val="0"/>
          <w:sz w:val="32"/>
          <w:szCs w:val="32"/>
          <w:u w:val="none"/>
          <w:shd w:val="clear" w:color="auto" w:fill="FFFFFF"/>
          <w:lang w:bidi="ar"/>
          <w14:textFill>
            <w14:solidFill>
              <w14:schemeClr w14:val="tx1"/>
            </w14:solidFill>
          </w14:textFill>
        </w:rPr>
        <w:t>提交材料：</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700" w:firstLineChars="200"/>
        <w:textAlignment w:val="baseline"/>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纸质版志愿时数凭证（《广东省志愿服务时间证书》+《服务时间明细》），具体操作如下：登录“i志愿”平台https://www.gdzyz.cn/index，登记志愿者个人账号进入个人界面—选择上方信息栏“时间证书”—输入证书查询信息。其次，获取并打印“广东省志愿服务时间证书”，然后点击“服务时间证书下载”+“服务时间明细下载</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700" w:firstLineChars="200"/>
        <w:textAlignment w:val="baseline"/>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②在清城区无偿献血每满200毫升或献单采血小板1个治疗量者，计2分</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Style w:val="10"/>
          <w:rFonts w:hint="eastAsia" w:ascii="仿宋_GB2312" w:hAnsi="仿宋_GB2312" w:eastAsia="仿宋_GB2312" w:cs="仿宋_GB2312"/>
          <w:b w:val="0"/>
          <w:bCs/>
          <w:color w:val="000000" w:themeColor="text1"/>
          <w:spacing w:val="15"/>
          <w:sz w:val="32"/>
          <w:szCs w:val="32"/>
          <w:u w:val="none"/>
          <w:shd w:val="clear" w:color="auto" w:fill="FFFFFF"/>
          <w:lang w:val="en-US" w:eastAsia="zh-CN"/>
          <w14:textFill>
            <w14:solidFill>
              <w14:schemeClr w14:val="tx1"/>
            </w14:solidFill>
          </w14:textFill>
        </w:rPr>
        <w:t>其</w:t>
      </w:r>
      <w:r>
        <w:rPr>
          <w:rStyle w:val="10"/>
          <w:rFonts w:hint="eastAsia" w:ascii="仿宋_GB2312" w:hAnsi="仿宋_GB2312" w:eastAsia="仿宋_GB2312" w:cs="仿宋_GB2312"/>
          <w:b w:val="0"/>
          <w:bCs/>
          <w:color w:val="000000" w:themeColor="text1"/>
          <w:spacing w:val="15"/>
          <w:sz w:val="32"/>
          <w:szCs w:val="32"/>
          <w:u w:val="none"/>
          <w:shd w:val="clear" w:color="auto" w:fill="FFFFFF"/>
          <w14:textFill>
            <w14:solidFill>
              <w14:schemeClr w14:val="tx1"/>
            </w14:solidFill>
          </w14:textFill>
        </w:rPr>
        <w:t>法定监护人</w:t>
      </w:r>
      <w:r>
        <w:rPr>
          <w:rStyle w:val="10"/>
          <w:rFonts w:hint="eastAsia" w:ascii="仿宋_GB2312" w:hAnsi="仿宋_GB2312" w:eastAsia="仿宋_GB2312" w:cs="仿宋_GB2312"/>
          <w:b w:val="0"/>
          <w:bCs/>
          <w:color w:val="000000" w:themeColor="text1"/>
          <w:spacing w:val="15"/>
          <w:sz w:val="32"/>
          <w:szCs w:val="32"/>
          <w:u w:val="none"/>
          <w:shd w:val="clear" w:color="auto" w:fill="FFFFFF"/>
          <w:lang w:val="en-US" w:eastAsia="zh-CN"/>
          <w14:textFill>
            <w14:solidFill>
              <w14:schemeClr w14:val="tx1"/>
            </w14:solidFill>
          </w14:textFill>
        </w:rPr>
        <w:t>的积分可合并计算，</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最高计</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1</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0分</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3" w:firstLineChars="200"/>
        <w:textAlignment w:val="baseline"/>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t>提交材料：</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textAlignment w:val="baseline"/>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清远市中心血站出具的无偿献血证</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或者在“清远市中心血站”微信公众号“我”的“献血记录”的纸质打印版凭证</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textAlignment w:val="baseline"/>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③无偿献血行为发生在清城区的无偿献血者并在</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清城区</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成为中华骨髓库捐献志愿者，计</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5</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分。</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3" w:firstLineChars="200"/>
        <w:textAlignment w:val="baseline"/>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t>提交材料：</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textAlignment w:val="baseline"/>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清城区内成为中华骨髓库捐献志愿者的证明。</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textAlignment w:val="baseline"/>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④在清城区成功实现骨髓（造血干细胞）捐献，计</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3</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0分</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3" w:firstLineChars="200"/>
        <w:textAlignment w:val="baseline"/>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t>提交材料：</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textAlignment w:val="baseline"/>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清城区内捐献造血干细胞荣誉证书。</w:t>
      </w:r>
    </w:p>
    <w:p>
      <w:pPr>
        <w:pStyle w:val="6"/>
        <w:keepNext w:val="0"/>
        <w:keepLines w:val="0"/>
        <w:pageBreakBefore w:val="0"/>
        <w:widowControl/>
        <w:numPr>
          <w:ilvl w:val="0"/>
          <w:numId w:val="0"/>
        </w:numPr>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right="0" w:rightChars="0" w:firstLine="703" w:firstLineChars="200"/>
        <w:jc w:val="both"/>
        <w:textAlignment w:val="baseline"/>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pPr>
      <w:r>
        <w:rPr>
          <w:rStyle w:val="10"/>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（2）公民办小学学籍。</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得分标准：申请报读清城区七年级的</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适龄儿童（少年</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),具有清城区公民办小学应届六年级学籍，学籍在清城区公民办小学期间，每学期计3分，最高计36分。</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textAlignment w:val="baseline"/>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 xml:space="preserve"> </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 xml:space="preserve">  </w:t>
      </w:r>
      <w:r>
        <w:rPr>
          <w:rFonts w:hint="eastAsia" w:ascii="仿宋_GB2312" w:hAnsi="仿宋_GB2312" w:eastAsia="仿宋_GB2312" w:cs="仿宋_GB2312"/>
          <w:b/>
          <w:bCs/>
          <w:color w:val="000000" w:themeColor="text1"/>
          <w:spacing w:val="15"/>
          <w:sz w:val="32"/>
          <w:szCs w:val="32"/>
          <w:u w:val="none"/>
          <w:shd w:val="clear" w:color="auto" w:fill="FFFFFF"/>
          <w14:textFill>
            <w14:solidFill>
              <w14:schemeClr w14:val="tx1"/>
            </w14:solidFill>
          </w14:textFill>
        </w:rPr>
        <w:t>提交材料：</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申请人可联系所在学校开具学籍（学期）时长证明（纸质盖章），并自主上传。</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3" w:firstLineChars="200"/>
        <w:textAlignment w:val="baseline"/>
        <w:rPr>
          <w:rFonts w:hint="eastAsia" w:ascii="仿宋_GB2312" w:hAnsi="仿宋_GB2312" w:eastAsia="仿宋_GB2312" w:cs="仿宋_GB2312"/>
          <w:color w:val="000000" w:themeColor="text1"/>
          <w:spacing w:val="15"/>
          <w:sz w:val="32"/>
          <w:szCs w:val="32"/>
          <w:u w:val="none"/>
          <w14:textFill>
            <w14:solidFill>
              <w14:schemeClr w14:val="tx1"/>
            </w14:solidFill>
          </w14:textFill>
        </w:rPr>
      </w:pPr>
      <w:r>
        <w:rPr>
          <w:rFonts w:hint="eastAsia" w:ascii="仿宋_GB2312" w:hAnsi="仿宋_GB2312" w:eastAsia="仿宋_GB2312" w:cs="仿宋_GB2312"/>
          <w:b/>
          <w:bCs/>
          <w:color w:val="000000" w:themeColor="text1"/>
          <w:spacing w:val="15"/>
          <w:sz w:val="32"/>
          <w:szCs w:val="32"/>
          <w:u w:val="none"/>
          <w:shd w:val="clear" w:color="auto" w:fill="FFFFFF"/>
          <w:lang w:val="en-US" w:eastAsia="zh-CN"/>
          <w14:textFill>
            <w14:solidFill>
              <w14:schemeClr w14:val="tx1"/>
            </w14:solidFill>
          </w14:textFill>
        </w:rPr>
        <w:t>3.</w:t>
      </w:r>
      <w:r>
        <w:rPr>
          <w:rStyle w:val="10"/>
          <w:rFonts w:hint="eastAsia" w:ascii="楷体_GB2312" w:hAnsi="楷体_GB2312" w:eastAsia="楷体_GB2312" w:cs="楷体_GB2312"/>
          <w:color w:val="000000" w:themeColor="text1"/>
          <w:spacing w:val="15"/>
          <w:sz w:val="32"/>
          <w:szCs w:val="32"/>
          <w:u w:val="none"/>
          <w:shd w:val="clear" w:color="auto" w:fill="FFFFFF"/>
          <w14:textFill>
            <w14:solidFill>
              <w14:schemeClr w14:val="tx1"/>
            </w14:solidFill>
          </w14:textFill>
        </w:rPr>
        <w:t>“一票否决”指标</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jc w:val="both"/>
        <w:textAlignment w:val="baseline"/>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 xml:space="preserve">   </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清城区</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区外</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户籍适龄儿童（少年）的法定监护人（即申请人）伪造或提供虚假申请资料，</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且与事实不符</w:t>
      </w:r>
      <w:r>
        <w:rPr>
          <w:rFonts w:hint="eastAsia" w:ascii="仿宋_GB2312" w:hAnsi="仿宋_GB2312" w:eastAsia="仿宋_GB2312" w:cs="仿宋_GB2312"/>
          <w:color w:val="000000" w:themeColor="text1"/>
          <w:spacing w:val="15"/>
          <w:sz w:val="32"/>
          <w:szCs w:val="32"/>
          <w:u w:val="none"/>
          <w:shd w:val="clear" w:color="auto" w:fill="FFFFFF"/>
          <w14:textFill>
            <w14:solidFill>
              <w14:schemeClr w14:val="tx1"/>
            </w14:solidFill>
          </w14:textFill>
        </w:rPr>
        <w:t>或作虚假承诺的，一经发现，取消当年积分申请资格，且两年内不得申请积分入学。</w:t>
      </w:r>
      <w:bookmarkEnd w:id="13"/>
    </w:p>
    <w:p>
      <w:pPr>
        <w:pStyle w:val="6"/>
        <w:keepNext w:val="0"/>
        <w:keepLines w:val="0"/>
        <w:pageBreakBefore w:val="0"/>
        <w:widowControl/>
        <w:numPr>
          <w:ilvl w:val="0"/>
          <w:numId w:val="2"/>
        </w:numPr>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640" w:firstLineChars="200"/>
        <w:jc w:val="both"/>
        <w:textAlignment w:val="baseline"/>
        <w:rPr>
          <w:rFonts w:hint="eastAsia" w:ascii="黑体" w:hAnsi="黑体" w:eastAsia="黑体" w:cs="黑体"/>
          <w:color w:val="000000" w:themeColor="text1"/>
          <w:kern w:val="2"/>
          <w:sz w:val="32"/>
          <w:szCs w:val="24"/>
          <w:u w:val="none"/>
          <w:lang w:val="en-US" w:eastAsia="zh-CN" w:bidi="ar-SA"/>
          <w14:textFill>
            <w14:solidFill>
              <w14:schemeClr w14:val="tx1"/>
            </w14:solidFill>
          </w14:textFill>
        </w:rPr>
      </w:pPr>
      <w:r>
        <w:rPr>
          <w:rFonts w:hint="eastAsia" w:ascii="黑体" w:hAnsi="黑体" w:eastAsia="黑体" w:cs="黑体"/>
          <w:color w:val="000000" w:themeColor="text1"/>
          <w:kern w:val="2"/>
          <w:sz w:val="32"/>
          <w:szCs w:val="24"/>
          <w:u w:val="none"/>
          <w:lang w:val="en-US" w:eastAsia="zh-CN" w:bidi="ar-SA"/>
          <w14:textFill>
            <w14:solidFill>
              <w14:schemeClr w14:val="tx1"/>
            </w14:solidFill>
          </w14:textFill>
        </w:rPr>
        <w:t>附则</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firstLine="700" w:firstLineChars="200"/>
        <w:jc w:val="both"/>
        <w:textAlignment w:val="baseline"/>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本实施细则自2025年2月1日起实施，有效期三年。在实施期间如相关政策、法规变化、按具体情况修订后公布执行。公布之日起，以往公布的相关规定与本实施细则不一致的，以本细则为准，最终解释权归清城区教育局。</w:t>
      </w: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left="2116" w:leftChars="341" w:hanging="1400" w:hangingChars="400"/>
        <w:jc w:val="both"/>
        <w:textAlignment w:val="baseline"/>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pPr>
    </w:p>
    <w:p>
      <w:pPr>
        <w:pStyle w:val="6"/>
        <w:keepNext w:val="0"/>
        <w:keepLines w:val="0"/>
        <w:pageBreakBefore w:val="0"/>
        <w:widowControl/>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left="2038" w:leftChars="304" w:hanging="1400" w:hangingChars="400"/>
        <w:jc w:val="both"/>
        <w:textAlignment w:val="baseline"/>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附件：1.清城区区外户籍适龄儿童（少年）申请</w:t>
      </w:r>
      <w:r>
        <w:rPr>
          <w:rFonts w:hint="eastAsia" w:ascii="仿宋_GB2312" w:hAnsi="仿宋_GB2312" w:eastAsia="仿宋_GB2312" w:cs="仿宋_GB2312"/>
          <w:color w:val="000000" w:themeColor="text1"/>
          <w:spacing w:val="15"/>
          <w:sz w:val="32"/>
          <w:szCs w:val="32"/>
          <w:u w:val="none"/>
          <w:shd w:val="clear" w:color="auto" w:fill="FFFFFF"/>
          <w:lang w:val="en-US" w:eastAsia="zh-Hans"/>
          <w14:textFill>
            <w14:solidFill>
              <w14:schemeClr w14:val="tx1"/>
            </w14:solidFill>
          </w14:textFill>
        </w:rPr>
        <w:t>入</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读公办学校流程</w:t>
      </w:r>
    </w:p>
    <w:p>
      <w:pPr>
        <w:pStyle w:val="6"/>
        <w:keepNext w:val="0"/>
        <w:keepLines w:val="0"/>
        <w:pageBreakBefore w:val="0"/>
        <w:widowControl/>
        <w:numPr>
          <w:ilvl w:val="0"/>
          <w:numId w:val="3"/>
        </w:numPr>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left="1946" w:leftChars="760" w:hanging="350" w:hangingChars="100"/>
        <w:jc w:val="both"/>
        <w:textAlignment w:val="baseline"/>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清城区区外户籍适龄儿童（少年）申请</w:t>
      </w:r>
      <w:r>
        <w:rPr>
          <w:rFonts w:hint="eastAsia" w:ascii="仿宋_GB2312" w:hAnsi="仿宋_GB2312" w:eastAsia="仿宋_GB2312" w:cs="仿宋_GB2312"/>
          <w:color w:val="000000" w:themeColor="text1"/>
          <w:spacing w:val="15"/>
          <w:sz w:val="32"/>
          <w:szCs w:val="32"/>
          <w:u w:val="none"/>
          <w:shd w:val="clear" w:color="auto" w:fill="FFFFFF"/>
          <w:lang w:val="en-US" w:eastAsia="zh-Hans"/>
          <w14:textFill>
            <w14:solidFill>
              <w14:schemeClr w14:val="tx1"/>
            </w14:solidFill>
          </w14:textFill>
        </w:rPr>
        <w:t>入</w:t>
      </w: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读公办学校积分项目及分值表</w:t>
      </w:r>
    </w:p>
    <w:p>
      <w:pPr>
        <w:pStyle w:val="6"/>
        <w:keepNext w:val="0"/>
        <w:keepLines w:val="0"/>
        <w:pageBreakBefore w:val="0"/>
        <w:widowControl/>
        <w:numPr>
          <w:ilvl w:val="0"/>
          <w:numId w:val="3"/>
        </w:numPr>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left="1946" w:leftChars="760" w:hanging="350" w:hangingChars="100"/>
        <w:jc w:val="both"/>
        <w:textAlignment w:val="baseline"/>
        <w:rPr>
          <w:rFonts w:hint="eastAsia" w:ascii="仿宋_GB2312" w:hAnsi="仿宋_GB2312" w:eastAsia="仿宋_GB2312" w:cs="仿宋_GB2312"/>
          <w:snapToGrid w:val="0"/>
          <w:color w:val="000000" w:themeColor="text1"/>
          <w:spacing w:val="15"/>
          <w:kern w:val="0"/>
          <w:sz w:val="32"/>
          <w:szCs w:val="32"/>
          <w:u w:val="none"/>
          <w:shd w:val="clear" w:color="auto" w:fill="FFFFFF"/>
          <w:lang w:val="en-US" w:eastAsia="zh-CN" w:bidi="ar"/>
          <w14:textFill>
            <w14:solidFill>
              <w14:schemeClr w14:val="tx1"/>
            </w14:solidFill>
          </w14:textFill>
        </w:rPr>
      </w:pPr>
      <w:r>
        <w:rPr>
          <w:rFonts w:hint="eastAsia" w:ascii="仿宋_GB2312" w:hAnsi="仿宋_GB2312" w:eastAsia="仿宋_GB2312" w:cs="仿宋_GB2312"/>
          <w:color w:val="000000" w:themeColor="text1"/>
          <w:spacing w:val="15"/>
          <w:sz w:val="32"/>
          <w:szCs w:val="32"/>
          <w:u w:val="none"/>
          <w:shd w:val="clear" w:color="auto" w:fill="FFFFFF"/>
          <w:lang w:val="en-US" w:eastAsia="zh-CN"/>
          <w14:textFill>
            <w14:solidFill>
              <w14:schemeClr w14:val="tx1"/>
            </w14:solidFill>
          </w14:textFill>
        </w:rPr>
        <w:t>2025年秋季清城区“大学区”划分一览表</w:t>
      </w:r>
    </w:p>
    <w:p>
      <w:pPr>
        <w:pStyle w:val="6"/>
        <w:keepNext w:val="0"/>
        <w:keepLines w:val="0"/>
        <w:pageBreakBefore w:val="0"/>
        <w:widowControl/>
        <w:numPr>
          <w:ilvl w:val="0"/>
          <w:numId w:val="0"/>
        </w:numPr>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leftChars="660" w:right="0" w:rightChars="0"/>
        <w:jc w:val="both"/>
        <w:textAlignment w:val="baseline"/>
        <w:rPr>
          <w:rFonts w:hint="eastAsia" w:ascii="仿宋_GB2312" w:hAnsi="仿宋_GB2312" w:eastAsia="仿宋_GB2312" w:cs="仿宋_GB2312"/>
          <w:snapToGrid w:val="0"/>
          <w:color w:val="000000" w:themeColor="text1"/>
          <w:spacing w:val="15"/>
          <w:kern w:val="0"/>
          <w:sz w:val="32"/>
          <w:szCs w:val="32"/>
          <w:u w:val="none"/>
          <w:shd w:val="clear" w:color="auto" w:fill="FFFFFF"/>
          <w:lang w:val="en-US" w:eastAsia="zh-CN" w:bidi="ar"/>
          <w14:textFill>
            <w14:solidFill>
              <w14:schemeClr w14:val="tx1"/>
            </w14:solidFill>
          </w14:textFill>
        </w:rPr>
      </w:pPr>
    </w:p>
    <w:p>
      <w:pPr>
        <w:pStyle w:val="6"/>
        <w:keepNext w:val="0"/>
        <w:keepLines w:val="0"/>
        <w:pageBreakBefore w:val="0"/>
        <w:widowControl/>
        <w:numPr>
          <w:ilvl w:val="0"/>
          <w:numId w:val="0"/>
        </w:numPr>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right="0" w:rightChars="0"/>
        <w:jc w:val="both"/>
        <w:textAlignment w:val="baseline"/>
        <w:rPr>
          <w:rFonts w:hint="eastAsia" w:ascii="仿宋_GB2312" w:hAnsi="仿宋_GB2312" w:eastAsia="仿宋_GB2312" w:cs="仿宋_GB2312"/>
          <w:snapToGrid w:val="0"/>
          <w:color w:val="000000" w:themeColor="text1"/>
          <w:spacing w:val="15"/>
          <w:kern w:val="0"/>
          <w:sz w:val="32"/>
          <w:szCs w:val="32"/>
          <w:u w:val="none"/>
          <w:shd w:val="clear" w:color="auto" w:fill="FFFFFF"/>
          <w:lang w:val="en-US" w:eastAsia="zh-CN" w:bidi="ar"/>
          <w14:textFill>
            <w14:solidFill>
              <w14:schemeClr w14:val="tx1"/>
            </w14:solidFill>
          </w14:textFill>
        </w:rPr>
      </w:pPr>
    </w:p>
    <w:p>
      <w:pPr>
        <w:pStyle w:val="6"/>
        <w:keepNext w:val="0"/>
        <w:keepLines w:val="0"/>
        <w:pageBreakBefore w:val="0"/>
        <w:widowControl/>
        <w:numPr>
          <w:ilvl w:val="0"/>
          <w:numId w:val="0"/>
        </w:numPr>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leftChars="660" w:right="0" w:rightChars="0" w:firstLine="3850" w:firstLineChars="1100"/>
        <w:jc w:val="both"/>
        <w:textAlignment w:val="baseline"/>
        <w:rPr>
          <w:rFonts w:hint="eastAsia" w:ascii="仿宋_GB2312" w:hAnsi="仿宋_GB2312" w:eastAsia="仿宋_GB2312" w:cs="仿宋_GB2312"/>
          <w:snapToGrid w:val="0"/>
          <w:color w:val="000000" w:themeColor="text1"/>
          <w:spacing w:val="15"/>
          <w:kern w:val="0"/>
          <w:sz w:val="32"/>
          <w:szCs w:val="32"/>
          <w:u w:val="none"/>
          <w:shd w:val="clear" w:color="auto" w:fill="FFFFFF"/>
          <w:lang w:val="en-US" w:eastAsia="zh-CN" w:bidi="ar"/>
          <w14:textFill>
            <w14:solidFill>
              <w14:schemeClr w14:val="tx1"/>
            </w14:solidFill>
          </w14:textFill>
        </w:rPr>
      </w:pPr>
      <w:r>
        <w:rPr>
          <w:rFonts w:hint="eastAsia" w:ascii="仿宋_GB2312" w:hAnsi="仿宋_GB2312" w:eastAsia="仿宋_GB2312" w:cs="仿宋_GB2312"/>
          <w:snapToGrid w:val="0"/>
          <w:color w:val="000000" w:themeColor="text1"/>
          <w:spacing w:val="15"/>
          <w:kern w:val="0"/>
          <w:sz w:val="32"/>
          <w:szCs w:val="32"/>
          <w:u w:val="none"/>
          <w:shd w:val="clear" w:color="auto" w:fill="FFFFFF"/>
          <w:lang w:val="en-US" w:eastAsia="zh-CN" w:bidi="ar"/>
          <w14:textFill>
            <w14:solidFill>
              <w14:schemeClr w14:val="tx1"/>
            </w14:solidFill>
          </w14:textFill>
        </w:rPr>
        <w:t>清远市清城区教育局</w:t>
      </w:r>
    </w:p>
    <w:p>
      <w:pPr>
        <w:pStyle w:val="6"/>
        <w:keepNext w:val="0"/>
        <w:keepLines w:val="0"/>
        <w:pageBreakBefore w:val="0"/>
        <w:widowControl/>
        <w:numPr>
          <w:ilvl w:val="0"/>
          <w:numId w:val="0"/>
        </w:numPr>
        <w:shd w:val="clear" w:color="auto" w:fill="FFFFFF"/>
        <w:kinsoku w:val="0"/>
        <w:wordWrap/>
        <w:overflowPunct/>
        <w:topLinePunct w:val="0"/>
        <w:autoSpaceDE w:val="0"/>
        <w:autoSpaceDN w:val="0"/>
        <w:bidi w:val="0"/>
        <w:adjustRightInd w:val="0"/>
        <w:snapToGrid w:val="0"/>
        <w:spacing w:before="0" w:beforeAutospacing="0" w:after="0" w:afterAutospacing="0" w:line="500" w:lineRule="exact"/>
        <w:ind w:right="0" w:rightChars="0" w:firstLine="5600" w:firstLineChars="1600"/>
        <w:jc w:val="both"/>
        <w:textAlignment w:val="baseline"/>
        <w:rPr>
          <w:rFonts w:hint="eastAsia" w:ascii="仿宋_GB2312" w:hAnsi="仿宋_GB2312" w:eastAsia="仿宋_GB2312" w:cs="仿宋_GB2312"/>
          <w:snapToGrid w:val="0"/>
          <w:color w:val="000000" w:themeColor="text1"/>
          <w:spacing w:val="15"/>
          <w:kern w:val="0"/>
          <w:sz w:val="32"/>
          <w:szCs w:val="32"/>
          <w:u w:val="none"/>
          <w:shd w:val="clear" w:color="auto" w:fill="FFFFFF"/>
          <w:lang w:val="en-US" w:eastAsia="zh-CN" w:bidi="ar"/>
          <w14:textFill>
            <w14:solidFill>
              <w14:schemeClr w14:val="tx1"/>
            </w14:solidFill>
          </w14:textFill>
        </w:rPr>
      </w:pPr>
      <w:r>
        <w:rPr>
          <w:rFonts w:hint="eastAsia" w:ascii="仿宋_GB2312" w:hAnsi="仿宋_GB2312" w:eastAsia="仿宋_GB2312" w:cs="仿宋_GB2312"/>
          <w:snapToGrid w:val="0"/>
          <w:color w:val="000000" w:themeColor="text1"/>
          <w:spacing w:val="15"/>
          <w:kern w:val="0"/>
          <w:sz w:val="32"/>
          <w:szCs w:val="32"/>
          <w:u w:val="none"/>
          <w:shd w:val="clear" w:color="auto" w:fill="FFFFFF"/>
          <w:lang w:val="en-US" w:eastAsia="zh-CN" w:bidi="ar"/>
          <w14:textFill>
            <w14:solidFill>
              <w14:schemeClr w14:val="tx1"/>
            </w14:solidFill>
          </w14:textFill>
        </w:rPr>
        <w:t>2024年12月25日</w:t>
      </w:r>
    </w:p>
    <w:p>
      <w:pPr>
        <w:spacing w:line="560" w:lineRule="exact"/>
        <w:jc w:val="both"/>
        <w:outlineLvl w:val="0"/>
        <w:rPr>
          <w:rFonts w:hint="eastAsia" w:ascii="仿宋_GB2312" w:hAnsi="仿宋_GB2312" w:eastAsia="仿宋_GB2312" w:cs="仿宋_GB2312"/>
          <w:b/>
          <w:bCs w:val="0"/>
          <w:color w:val="000000" w:themeColor="text1"/>
          <w:sz w:val="28"/>
          <w:szCs w:val="28"/>
          <w:u w:val="none"/>
          <w:lang w:val="en-US" w:eastAsia="zh-CN"/>
          <w14:textFill>
            <w14:solidFill>
              <w14:schemeClr w14:val="tx1"/>
            </w14:solidFill>
          </w14:textFill>
        </w:rPr>
      </w:pPr>
    </w:p>
    <w:p>
      <w:pPr>
        <w:spacing w:line="560" w:lineRule="exact"/>
        <w:jc w:val="both"/>
        <w:outlineLvl w:val="0"/>
        <w:rPr>
          <w:rFonts w:hint="eastAsia" w:ascii="仿宋_GB2312" w:hAnsi="仿宋_GB2312" w:eastAsia="仿宋_GB2312" w:cs="仿宋_GB2312"/>
          <w:b/>
          <w:bCs w:val="0"/>
          <w:color w:val="000000" w:themeColor="text1"/>
          <w:kern w:val="0"/>
          <w:sz w:val="28"/>
          <w:szCs w:val="28"/>
          <w:u w:val="none"/>
          <w:lang w:val="en-US" w:eastAsia="zh-CN" w:bidi="ar"/>
          <w14:textFill>
            <w14:solidFill>
              <w14:schemeClr w14:val="tx1"/>
            </w14:solidFill>
          </w14:textFill>
        </w:rPr>
      </w:pPr>
      <w:r>
        <w:rPr>
          <w:rFonts w:hint="eastAsia" w:ascii="仿宋_GB2312" w:hAnsi="仿宋_GB2312" w:eastAsia="仿宋_GB2312" w:cs="仿宋_GB2312"/>
          <w:b/>
          <w:bCs w:val="0"/>
          <w:color w:val="000000" w:themeColor="text1"/>
          <w:sz w:val="28"/>
          <w:szCs w:val="28"/>
          <w:u w:val="none"/>
          <w:lang w:val="en-US" w:eastAsia="zh-CN"/>
          <w14:textFill>
            <w14:solidFill>
              <w14:schemeClr w14:val="tx1"/>
            </w14:solidFill>
          </w14:textFill>
        </w:rPr>
        <w:t>附件</w:t>
      </w:r>
      <w:r>
        <w:rPr>
          <w:rFonts w:hint="eastAsia" w:ascii="仿宋_GB2312" w:hAnsi="仿宋_GB2312" w:eastAsia="仿宋_GB2312" w:cs="仿宋_GB2312"/>
          <w:b/>
          <w:bCs w:val="0"/>
          <w:color w:val="000000" w:themeColor="text1"/>
          <w:kern w:val="0"/>
          <w:sz w:val="28"/>
          <w:szCs w:val="28"/>
          <w:u w:val="none"/>
          <w:lang w:val="en-US" w:eastAsia="zh-CN" w:bidi="ar"/>
          <w14:textFill>
            <w14:solidFill>
              <w14:schemeClr w14:val="tx1"/>
            </w14:solidFill>
          </w14:textFill>
        </w:rPr>
        <w:t>1</w:t>
      </w:r>
    </w:p>
    <w:p>
      <w:pPr>
        <w:spacing w:line="560" w:lineRule="exact"/>
        <w:jc w:val="center"/>
        <w:outlineLvl w:val="0"/>
        <w:rPr>
          <w:rFonts w:hint="eastAsia" w:ascii="方正小标宋_GBK" w:hAnsi="方正小标宋_GBK" w:eastAsia="方正小标宋_GBK"/>
          <w:color w:val="000000" w:themeColor="text1"/>
          <w:sz w:val="36"/>
          <w:szCs w:val="36"/>
          <w:u w:val="none"/>
          <w:lang w:val="en-US" w:eastAsia="zh-CN"/>
          <w14:textFill>
            <w14:solidFill>
              <w14:schemeClr w14:val="tx1"/>
            </w14:solidFill>
          </w14:textFill>
        </w:rPr>
      </w:pPr>
      <w:r>
        <w:rPr>
          <w:rFonts w:hint="eastAsia" w:ascii="宋体" w:hAnsi="宋体" w:eastAsia="宋体" w:cs="宋体"/>
          <w:b/>
          <w:bCs/>
          <w:color w:val="000000" w:themeColor="text1"/>
          <w:kern w:val="0"/>
          <w:sz w:val="32"/>
          <w:szCs w:val="32"/>
          <w:u w:val="none"/>
          <w:lang w:val="en-US" w:eastAsia="zh-CN" w:bidi="ar"/>
          <w14:textFill>
            <w14:solidFill>
              <w14:schemeClr w14:val="tx1"/>
            </w14:solidFill>
          </w14:textFill>
        </w:rPr>
        <w:t>清城区区外户籍适龄儿童（少年）申请</w:t>
      </w:r>
      <w:r>
        <w:rPr>
          <w:rFonts w:hint="eastAsia" w:ascii="宋体" w:hAnsi="宋体" w:eastAsia="宋体" w:cs="宋体"/>
          <w:b/>
          <w:bCs/>
          <w:color w:val="000000" w:themeColor="text1"/>
          <w:kern w:val="0"/>
          <w:sz w:val="32"/>
          <w:szCs w:val="32"/>
          <w:u w:val="none"/>
          <w:lang w:val="en-US" w:eastAsia="zh-Hans" w:bidi="ar"/>
          <w14:textFill>
            <w14:solidFill>
              <w14:schemeClr w14:val="tx1"/>
            </w14:solidFill>
          </w14:textFill>
        </w:rPr>
        <w:t>入</w:t>
      </w:r>
      <w:r>
        <w:rPr>
          <w:rFonts w:hint="eastAsia" w:ascii="宋体" w:hAnsi="宋体" w:eastAsia="宋体" w:cs="宋体"/>
          <w:b/>
          <w:bCs/>
          <w:color w:val="000000" w:themeColor="text1"/>
          <w:kern w:val="0"/>
          <w:sz w:val="32"/>
          <w:szCs w:val="32"/>
          <w:u w:val="none"/>
          <w:lang w:val="en-US" w:eastAsia="zh-CN" w:bidi="ar"/>
          <w14:textFill>
            <w14:solidFill>
              <w14:schemeClr w14:val="tx1"/>
            </w14:solidFill>
          </w14:textFill>
        </w:rPr>
        <w:t>读公办学校流程</w:t>
      </w:r>
    </w:p>
    <w:p>
      <w:pPr>
        <w:rPr>
          <w:rFonts w:hint="eastAsia"/>
          <w:color w:val="000000" w:themeColor="text1"/>
          <w:sz w:val="32"/>
          <w:szCs w:val="32"/>
          <w:u w:val="none"/>
          <w:lang w:val="en-US" w:eastAsia="zh-CN"/>
          <w14:textFill>
            <w14:solidFill>
              <w14:schemeClr w14:val="tx1"/>
            </w14:solidFill>
          </w14:textFill>
        </w:rPr>
      </w:pPr>
      <w:r>
        <w:rPr>
          <w:color w:val="000000" w:themeColor="text1"/>
          <w:sz w:val="32"/>
          <w:u w:val="none"/>
          <w14:textFill>
            <w14:solidFill>
              <w14:schemeClr w14:val="tx1"/>
            </w14:solidFill>
          </w14:textFill>
        </w:rPr>
        <mc:AlternateContent>
          <mc:Choice Requires="wps">
            <w:drawing>
              <wp:anchor distT="0" distB="0" distL="114300" distR="114300" simplePos="0" relativeHeight="251681792" behindDoc="0" locked="0" layoutInCell="1" allowOverlap="1">
                <wp:simplePos x="0" y="0"/>
                <wp:positionH relativeFrom="column">
                  <wp:posOffset>996950</wp:posOffset>
                </wp:positionH>
                <wp:positionV relativeFrom="paragraph">
                  <wp:posOffset>20955</wp:posOffset>
                </wp:positionV>
                <wp:extent cx="3905250" cy="588645"/>
                <wp:effectExtent l="12700" t="12700" r="19050" b="20955"/>
                <wp:wrapNone/>
                <wp:docPr id="1" name="流程图: 可选过程 1"/>
                <wp:cNvGraphicFramePr/>
                <a:graphic xmlns:a="http://schemas.openxmlformats.org/drawingml/2006/main">
                  <a:graphicData uri="http://schemas.microsoft.com/office/word/2010/wordprocessingShape">
                    <wps:wsp>
                      <wps:cNvSpPr/>
                      <wps:spPr>
                        <a:xfrm>
                          <a:off x="0" y="0"/>
                          <a:ext cx="3905250" cy="588645"/>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eastAsia="宋体"/>
                                <w:sz w:val="24"/>
                                <w:szCs w:val="24"/>
                                <w:lang w:eastAsia="zh-CN"/>
                              </w:rPr>
                            </w:pPr>
                            <w:r>
                              <w:rPr>
                                <w:rFonts w:hint="eastAsia"/>
                                <w:sz w:val="24"/>
                                <w:szCs w:val="24"/>
                                <w:lang w:eastAsia="zh-CN"/>
                              </w:rPr>
                              <w:t>申请人登录清城区适龄儿童（少年）网上报名系统，选择清城区</w:t>
                            </w:r>
                            <w:r>
                              <w:rPr>
                                <w:rFonts w:hint="eastAsia"/>
                                <w:sz w:val="24"/>
                                <w:szCs w:val="24"/>
                                <w:lang w:val="en-US" w:eastAsia="zh-CN"/>
                              </w:rPr>
                              <w:t>区外</w:t>
                            </w:r>
                            <w:r>
                              <w:rPr>
                                <w:rFonts w:hint="eastAsia"/>
                                <w:sz w:val="24"/>
                                <w:szCs w:val="24"/>
                                <w:lang w:eastAsia="zh-CN"/>
                              </w:rPr>
                              <w:t>户籍</w:t>
                            </w:r>
                            <w:r>
                              <w:rPr>
                                <w:rFonts w:hint="eastAsia"/>
                                <w:sz w:val="24"/>
                                <w:szCs w:val="24"/>
                                <w:lang w:val="en-US" w:eastAsia="zh-CN"/>
                              </w:rPr>
                              <w:t>适龄儿童（少年）“</w:t>
                            </w:r>
                            <w:r>
                              <w:rPr>
                                <w:rFonts w:hint="eastAsia"/>
                                <w:sz w:val="24"/>
                                <w:szCs w:val="24"/>
                                <w:lang w:eastAsia="zh-CN"/>
                              </w:rPr>
                              <w:t>积分入学</w:t>
                            </w:r>
                            <w:r>
                              <w:rPr>
                                <w:rFonts w:hint="eastAsia"/>
                                <w:sz w:val="24"/>
                                <w:szCs w:val="24"/>
                                <w:lang w:val="en-US" w:eastAsia="zh-CN"/>
                              </w:rPr>
                              <w:t>”页面</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sz w:val="24"/>
                                <w:szCs w:val="24"/>
                                <w:lang w:eastAsia="zh-CN"/>
                              </w:rPr>
                            </w:pPr>
                          </w:p>
                        </w:txbxContent>
                      </wps:txbx>
                      <wps:bodyPr anchor="ctr" anchorCtr="0" upright="1"/>
                    </wps:wsp>
                  </a:graphicData>
                </a:graphic>
              </wp:anchor>
            </w:drawing>
          </mc:Choice>
          <mc:Fallback>
            <w:pict>
              <v:shape id="_x0000_s1026" o:spid="_x0000_s1026" o:spt="176" type="#_x0000_t176" style="position:absolute;left:0pt;margin-left:78.5pt;margin-top:1.65pt;height:46.35pt;width:307.5pt;z-index:251681792;v-text-anchor:middle;mso-width-relative:page;mso-height-relative:page;" fillcolor="#FFFFFF" filled="t" stroked="t" coordsize="21600,21600" o:gfxdata="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MAp4L9QAAAAIAQAADwAAAAAAAAABACAAAAAiAAAAZHJzL2Rvd25yZXYueG1s&#10;UEsBAhQAFAAAAAgAh07iQL8KIqM1AgAAawQAAA4AAAAAAAAAAQAgAAAAIwEAAGRycy9lMm9Eb2Mu&#10;eG1sUEsFBgAAAAAGAAYAWQEAAMoFAAAAAA==&#10;">
                <v:fill on="t" focussize="0,0"/>
                <v:stroke weight="2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eastAsia="宋体"/>
                          <w:sz w:val="24"/>
                          <w:szCs w:val="24"/>
                          <w:lang w:eastAsia="zh-CN"/>
                        </w:rPr>
                      </w:pPr>
                      <w:r>
                        <w:rPr>
                          <w:rFonts w:hint="eastAsia"/>
                          <w:sz w:val="24"/>
                          <w:szCs w:val="24"/>
                          <w:lang w:eastAsia="zh-CN"/>
                        </w:rPr>
                        <w:t>申请人登录清城区适龄儿童（少年）网上报名系统，选择清城区</w:t>
                      </w:r>
                      <w:r>
                        <w:rPr>
                          <w:rFonts w:hint="eastAsia"/>
                          <w:sz w:val="24"/>
                          <w:szCs w:val="24"/>
                          <w:lang w:val="en-US" w:eastAsia="zh-CN"/>
                        </w:rPr>
                        <w:t>区外</w:t>
                      </w:r>
                      <w:r>
                        <w:rPr>
                          <w:rFonts w:hint="eastAsia"/>
                          <w:sz w:val="24"/>
                          <w:szCs w:val="24"/>
                          <w:lang w:eastAsia="zh-CN"/>
                        </w:rPr>
                        <w:t>户籍</w:t>
                      </w:r>
                      <w:r>
                        <w:rPr>
                          <w:rFonts w:hint="eastAsia"/>
                          <w:sz w:val="24"/>
                          <w:szCs w:val="24"/>
                          <w:lang w:val="en-US" w:eastAsia="zh-CN"/>
                        </w:rPr>
                        <w:t>适龄儿童（少年）“</w:t>
                      </w:r>
                      <w:r>
                        <w:rPr>
                          <w:rFonts w:hint="eastAsia"/>
                          <w:sz w:val="24"/>
                          <w:szCs w:val="24"/>
                          <w:lang w:eastAsia="zh-CN"/>
                        </w:rPr>
                        <w:t>积分入学</w:t>
                      </w:r>
                      <w:r>
                        <w:rPr>
                          <w:rFonts w:hint="eastAsia"/>
                          <w:sz w:val="24"/>
                          <w:szCs w:val="24"/>
                          <w:lang w:val="en-US" w:eastAsia="zh-CN"/>
                        </w:rPr>
                        <w:t>”页面</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sz w:val="24"/>
                          <w:szCs w:val="24"/>
                          <w:lang w:eastAsia="zh-CN"/>
                        </w:rPr>
                      </w:pPr>
                    </w:p>
                  </w:txbxContent>
                </v:textbox>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13"/>
          <w:szCs w:val="13"/>
          <w:u w:val="none"/>
          <w14:textFill>
            <w14:solidFill>
              <w14:schemeClr w14:val="tx1"/>
            </w14:solidFill>
          </w14:textFill>
        </w:rPr>
      </w:pP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1004570</wp:posOffset>
                </wp:positionH>
                <wp:positionV relativeFrom="paragraph">
                  <wp:posOffset>317500</wp:posOffset>
                </wp:positionV>
                <wp:extent cx="3855720" cy="457200"/>
                <wp:effectExtent l="12700" t="12700" r="17780" b="12700"/>
                <wp:wrapNone/>
                <wp:docPr id="3" name="流程图: 可选过程 3"/>
                <wp:cNvGraphicFramePr/>
                <a:graphic xmlns:a="http://schemas.openxmlformats.org/drawingml/2006/main">
                  <a:graphicData uri="http://schemas.microsoft.com/office/word/2010/wordprocessingShape">
                    <wps:wsp>
                      <wps:cNvSpPr/>
                      <wps:spPr>
                        <a:xfrm>
                          <a:off x="0" y="0"/>
                          <a:ext cx="3855720" cy="457200"/>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jc w:val="center"/>
                              <w:rPr>
                                <w:rFonts w:hint="eastAsia" w:eastAsia="宋体"/>
                                <w:sz w:val="24"/>
                                <w:szCs w:val="24"/>
                                <w:lang w:eastAsia="zh-CN"/>
                              </w:rPr>
                            </w:pPr>
                            <w:r>
                              <w:rPr>
                                <w:rFonts w:hint="eastAsia"/>
                                <w:sz w:val="24"/>
                                <w:szCs w:val="24"/>
                                <w:lang w:eastAsia="zh-CN"/>
                              </w:rPr>
                              <w:t>学校初审</w:t>
                            </w:r>
                          </w:p>
                        </w:txbxContent>
                      </wps:txbx>
                      <wps:bodyPr anchor="ctr" anchorCtr="0" upright="1"/>
                    </wps:wsp>
                  </a:graphicData>
                </a:graphic>
              </wp:anchor>
            </w:drawing>
          </mc:Choice>
          <mc:Fallback>
            <w:pict>
              <v:shape id="_x0000_s1026" o:spid="_x0000_s1026" o:spt="176" type="#_x0000_t176" style="position:absolute;left:0pt;margin-left:79.1pt;margin-top:25pt;height:36pt;width:303.6pt;z-index:251661312;v-text-anchor:middle;mso-width-relative:page;mso-height-relative:page;" fillcolor="#FFFFFF" filled="t" stroked="t" coordsize="21600,21600" o:gfxdata="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n3IyL1QAAAAoBAAAPAAAAAAAAAAEAIAAAACIAAABkcnMvZG93bnJldi54&#10;bWxQSwECFAAUAAAACACHTuJAgFedtzYCAABrBAAADgAAAAAAAAABACAAAAAkAQAAZHJzL2Uyb0Rv&#10;Yy54bWxQSwUGAAAAAAYABgBZAQAAzAUAAAAA&#10;">
                <v:fill on="t" focussize="0,0"/>
                <v:stroke weight="2pt" color="#000000" joinstyle="round"/>
                <v:imagedata o:title=""/>
                <o:lock v:ext="edit" aspectratio="f"/>
                <v:textbox>
                  <w:txbxContent>
                    <w:p>
                      <w:pPr>
                        <w:jc w:val="center"/>
                        <w:rPr>
                          <w:rFonts w:hint="eastAsia" w:eastAsia="宋体"/>
                          <w:sz w:val="24"/>
                          <w:szCs w:val="24"/>
                          <w:lang w:eastAsia="zh-CN"/>
                        </w:rPr>
                      </w:pPr>
                      <w:r>
                        <w:rPr>
                          <w:rFonts w:hint="eastAsia"/>
                          <w:sz w:val="24"/>
                          <w:szCs w:val="24"/>
                          <w:lang w:eastAsia="zh-CN"/>
                        </w:rPr>
                        <w:t>学校初审</w:t>
                      </w:r>
                    </w:p>
                  </w:txbxContent>
                </v:textbox>
              </v:shape>
            </w:pict>
          </mc:Fallback>
        </mc:AlternateContent>
      </w:r>
      <w:r>
        <w:rPr>
          <w:color w:val="000000" w:themeColor="text1"/>
          <w:sz w:val="28"/>
          <w:u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2913380</wp:posOffset>
                </wp:positionH>
                <wp:positionV relativeFrom="paragraph">
                  <wp:posOffset>45085</wp:posOffset>
                </wp:positionV>
                <wp:extent cx="2540" cy="254635"/>
                <wp:effectExtent l="52705" t="0" r="59055" b="12065"/>
                <wp:wrapNone/>
                <wp:docPr id="6" name="直接箭头连接符 6"/>
                <wp:cNvGraphicFramePr/>
                <a:graphic xmlns:a="http://schemas.openxmlformats.org/drawingml/2006/main">
                  <a:graphicData uri="http://schemas.microsoft.com/office/word/2010/wordprocessingShape">
                    <wps:wsp>
                      <wps:cNvCnPr/>
                      <wps:spPr>
                        <a:xfrm flipH="1">
                          <a:off x="0" y="0"/>
                          <a:ext cx="2540" cy="254635"/>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229.4pt;margin-top:3.55pt;height:20.05pt;width:0.2pt;z-index:251660288;mso-width-relative:page;mso-height-relative:page;" filled="f" stroked="t" coordsize="21600,21600" o:gfxdata="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XWlZrdcAAAAIAQAADwAAAAAAAAABACAA&#10;AAAiAAAAZHJzL2Rvd25yZXYueG1sUEsBAhQAFAAAAAgAh07iQNpY/uUOAgAABAQAAA4AAAAAAAAA&#10;AQAgAAAAJgEAAGRycy9lMm9Eb2MueG1sUEsFBgAAAAAGAAYAWQEAAKYFAAAAAA==&#10;">
                <v:fill on="f" focussize="0,0"/>
                <v:stroke weight="1.5pt" color="#000000" joinstyle="round" endarrow="open"/>
                <v:imagedata o:title=""/>
                <o:lock v:ext="edit" aspectratio="f"/>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2887345</wp:posOffset>
                </wp:positionH>
                <wp:positionV relativeFrom="paragraph">
                  <wp:posOffset>114935</wp:posOffset>
                </wp:positionV>
                <wp:extent cx="2540" cy="254635"/>
                <wp:effectExtent l="52705" t="0" r="59055" b="12065"/>
                <wp:wrapNone/>
                <wp:docPr id="11" name="直接箭头连接符 11"/>
                <wp:cNvGraphicFramePr/>
                <a:graphic xmlns:a="http://schemas.openxmlformats.org/drawingml/2006/main">
                  <a:graphicData uri="http://schemas.microsoft.com/office/word/2010/wordprocessingShape">
                    <wps:wsp>
                      <wps:cNvCnPr/>
                      <wps:spPr>
                        <a:xfrm flipH="1">
                          <a:off x="0" y="0"/>
                          <a:ext cx="2540" cy="254635"/>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227.35pt;margin-top:9.05pt;height:20.05pt;width:0.2pt;z-index:251662336;mso-width-relative:page;mso-height-relative:page;" filled="f" stroked="t" coordsize="21600,21600" o:gfxdata="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EiZCLYAAAACQEAAA8AAAAAAAAAAQAg&#10;AAAAIgAAAGRycy9kb3ducmV2LnhtbFBLAQIUABQAAAAIAIdO4kDYjCo0DgIAAAYEAAAOAAAAAAAA&#10;AAEAIAAAACcBAABkcnMvZTJvRG9jLnhtbFBLBQYAAAAABgAGAFkBAACnBQAAAAA=&#10;">
                <v:fill on="f" focussize="0,0"/>
                <v:stroke weight="1.5pt" color="#000000" joinstyle="round" endarrow="open"/>
                <v:imagedata o:title=""/>
                <o:lock v:ext="edit" aspectratio="f"/>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995045</wp:posOffset>
                </wp:positionH>
                <wp:positionV relativeFrom="paragraph">
                  <wp:posOffset>38735</wp:posOffset>
                </wp:positionV>
                <wp:extent cx="3855720" cy="486410"/>
                <wp:effectExtent l="12700" t="12700" r="17780" b="21590"/>
                <wp:wrapNone/>
                <wp:docPr id="4" name="流程图: 可选过程 4"/>
                <wp:cNvGraphicFramePr/>
                <a:graphic xmlns:a="http://schemas.openxmlformats.org/drawingml/2006/main">
                  <a:graphicData uri="http://schemas.microsoft.com/office/word/2010/wordprocessingShape">
                    <wps:wsp>
                      <wps:cNvSpPr/>
                      <wps:spPr>
                        <a:xfrm>
                          <a:off x="0" y="0"/>
                          <a:ext cx="3855720" cy="486410"/>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eastAsia="宋体"/>
                                <w:sz w:val="24"/>
                                <w:szCs w:val="24"/>
                                <w:lang w:eastAsia="zh-CN"/>
                              </w:rPr>
                            </w:pPr>
                            <w:r>
                              <w:rPr>
                                <w:rFonts w:hint="eastAsia"/>
                                <w:sz w:val="24"/>
                                <w:szCs w:val="24"/>
                                <w:lang w:eastAsia="zh-CN"/>
                              </w:rPr>
                              <w:t>各相关职能部门审核、核定积分</w:t>
                            </w:r>
                          </w:p>
                        </w:txbxContent>
                      </wps:txbx>
                      <wps:bodyPr anchor="ctr" anchorCtr="0" upright="1"/>
                    </wps:wsp>
                  </a:graphicData>
                </a:graphic>
              </wp:anchor>
            </w:drawing>
          </mc:Choice>
          <mc:Fallback>
            <w:pict>
              <v:shape id="_x0000_s1026" o:spid="_x0000_s1026" o:spt="176" type="#_x0000_t176" style="position:absolute;left:0pt;margin-left:78.35pt;margin-top:3.05pt;height:38.3pt;width:303.6pt;z-index:251664384;v-text-anchor:middle;mso-width-relative:page;mso-height-relative:page;" fillcolor="#FFFFFF" filled="t" stroked="t" coordsize="21600,21600" o:gfxdata="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HENxB1QAAAAgBAAAPAAAAAAAAAAEAIAAAACIAAABkcnMvZG93bnJl&#10;di54bWxQSwECFAAUAAAACACHTuJAPfDQIDkCAABrBAAADgAAAAAAAAABACAAAAAkAQAAZHJzL2Uy&#10;b0RvYy54bWxQSwUGAAAAAAYABgBZAQAAzwUAAAAA&#10;">
                <v:fill on="t" focussize="0,0"/>
                <v:stroke weight="2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eastAsia="宋体"/>
                          <w:sz w:val="24"/>
                          <w:szCs w:val="24"/>
                          <w:lang w:eastAsia="zh-CN"/>
                        </w:rPr>
                      </w:pPr>
                      <w:r>
                        <w:rPr>
                          <w:rFonts w:hint="eastAsia"/>
                          <w:sz w:val="24"/>
                          <w:szCs w:val="24"/>
                          <w:lang w:eastAsia="zh-CN"/>
                        </w:rPr>
                        <w:t>各相关职能部门审核、核定积分</w:t>
                      </w:r>
                    </w:p>
                  </w:txbxContent>
                </v:textbox>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2887345</wp:posOffset>
                </wp:positionH>
                <wp:positionV relativeFrom="paragraph">
                  <wp:posOffset>213360</wp:posOffset>
                </wp:positionV>
                <wp:extent cx="2540" cy="254635"/>
                <wp:effectExtent l="52705" t="0" r="59055" b="12065"/>
                <wp:wrapNone/>
                <wp:docPr id="9" name="直接箭头连接符 9"/>
                <wp:cNvGraphicFramePr/>
                <a:graphic xmlns:a="http://schemas.openxmlformats.org/drawingml/2006/main">
                  <a:graphicData uri="http://schemas.microsoft.com/office/word/2010/wordprocessingShape">
                    <wps:wsp>
                      <wps:cNvCnPr/>
                      <wps:spPr>
                        <a:xfrm flipH="1">
                          <a:off x="0" y="0"/>
                          <a:ext cx="2540" cy="254635"/>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227.35pt;margin-top:16.8pt;height:20.05pt;width:0.2pt;z-index:251665408;mso-width-relative:page;mso-height-relative:page;" filled="f" stroked="t" coordsize="21600,21600" o:gfxdata="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MeU/Q2AAAAAkBAAAPAAAAAAAAAAEA&#10;IAAAACIAAABkcnMvZG93bnJldi54bWxQSwECFAAUAAAACACHTuJARlcJQg8CAAAEBAAADgAAAAAA&#10;AAABACAAAAAnAQAAZHJzL2Uyb0RvYy54bWxQSwUGAAAAAAYABgBZAQAAqAUAAAAA&#10;">
                <v:fill on="f" focussize="0,0"/>
                <v:stroke weight="1.5pt" color="#000000" joinstyle="round" endarrow="open"/>
                <v:imagedata o:title=""/>
                <o:lock v:ext="edit" aspectratio="f"/>
              </v:shape>
            </w:pict>
          </mc:Fallback>
        </mc:AlternateContent>
      </w:r>
      <w:r>
        <w:rPr>
          <w:color w:val="000000" w:themeColor="text1"/>
          <w:sz w:val="28"/>
          <w:u w:val="none"/>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400685</wp:posOffset>
                </wp:positionH>
                <wp:positionV relativeFrom="paragraph">
                  <wp:posOffset>334645</wp:posOffset>
                </wp:positionV>
                <wp:extent cx="826770" cy="390525"/>
                <wp:effectExtent l="0" t="0" r="0" b="0"/>
                <wp:wrapNone/>
                <wp:docPr id="7" name="流程图: 可选过程 7"/>
                <wp:cNvGraphicFramePr/>
                <a:graphic xmlns:a="http://schemas.openxmlformats.org/drawingml/2006/main">
                  <a:graphicData uri="http://schemas.microsoft.com/office/word/2010/wordprocessingShape">
                    <wps:wsp>
                      <wps:cNvSpPr/>
                      <wps:spPr>
                        <a:xfrm>
                          <a:off x="0" y="0"/>
                          <a:ext cx="826770" cy="390525"/>
                        </a:xfrm>
                        <a:prstGeom prst="flowChartAlternateProcess">
                          <a:avLst/>
                        </a:prstGeom>
                        <a:noFill/>
                        <a:ln w="25400">
                          <a:noFill/>
                        </a:ln>
                      </wps:spPr>
                      <wps:txbx>
                        <w:txbxContent>
                          <w:p>
                            <w:pPr>
                              <w:jc w:val="both"/>
                              <w:rPr>
                                <w:rFonts w:hint="eastAsia" w:eastAsia="宋体"/>
                                <w:sz w:val="24"/>
                                <w:szCs w:val="24"/>
                                <w:lang w:eastAsia="zh-CN"/>
                              </w:rPr>
                            </w:pPr>
                            <w:r>
                              <w:rPr>
                                <w:rFonts w:hint="eastAsia"/>
                                <w:sz w:val="24"/>
                                <w:szCs w:val="24"/>
                                <w:lang w:eastAsia="zh-CN"/>
                              </w:rPr>
                              <w:t>有异议</w:t>
                            </w:r>
                          </w:p>
                        </w:txbxContent>
                      </wps:txbx>
                      <wps:bodyPr anchor="ctr" anchorCtr="0" upright="1"/>
                    </wps:wsp>
                  </a:graphicData>
                </a:graphic>
              </wp:anchor>
            </w:drawing>
          </mc:Choice>
          <mc:Fallback>
            <w:pict>
              <v:shape id="_x0000_s1026" o:spid="_x0000_s1026" o:spt="176" type="#_x0000_t176" style="position:absolute;left:0pt;margin-left:31.55pt;margin-top:26.35pt;height:30.75pt;width:65.1pt;z-index:251666432;v-text-anchor:middle;mso-width-relative:page;mso-height-relative:page;" filled="f" stroked="f" coordsize="21600,21600" o:gfxdata="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Bf8J2wAAAAkB&#10;AAAPAAAAAAAAAAEAIAAAACIAAABkcnMvZG93bnJldi54bWxQSwECFAAUAAAACACHTuJAskV9Y98B&#10;AACLAwAADgAAAAAAAAABACAAAAAqAQAAZHJzL2Uyb0RvYy54bWxQSwUGAAAAAAYABgBZAQAAewUA&#10;AAAA&#10;">
                <v:fill on="f" focussize="0,0"/>
                <v:stroke on="f" weight="2pt"/>
                <v:imagedata o:title=""/>
                <o:lock v:ext="edit" aspectratio="f"/>
                <v:textbox>
                  <w:txbxContent>
                    <w:p>
                      <w:pPr>
                        <w:jc w:val="both"/>
                        <w:rPr>
                          <w:rFonts w:hint="eastAsia" w:eastAsia="宋体"/>
                          <w:sz w:val="24"/>
                          <w:szCs w:val="24"/>
                          <w:lang w:eastAsia="zh-CN"/>
                        </w:rPr>
                      </w:pPr>
                      <w:r>
                        <w:rPr>
                          <w:rFonts w:hint="eastAsia"/>
                          <w:sz w:val="24"/>
                          <w:szCs w:val="24"/>
                          <w:lang w:eastAsia="zh-CN"/>
                        </w:rPr>
                        <w:t>有异议</w:t>
                      </w:r>
                    </w:p>
                  </w:txbxContent>
                </v:textbox>
              </v:shape>
            </w:pict>
          </mc:Fallback>
        </mc:AlternateContent>
      </w:r>
      <w:r>
        <w:rPr>
          <w:color w:val="000000" w:themeColor="text1"/>
          <w:sz w:val="28"/>
          <w:u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-238125</wp:posOffset>
                </wp:positionH>
                <wp:positionV relativeFrom="paragraph">
                  <wp:posOffset>17780</wp:posOffset>
                </wp:positionV>
                <wp:extent cx="608965" cy="1284605"/>
                <wp:effectExtent l="9525" t="9525" r="16510" b="13970"/>
                <wp:wrapNone/>
                <wp:docPr id="10" name="流程图: 可选过程 10"/>
                <wp:cNvGraphicFramePr/>
                <a:graphic xmlns:a="http://schemas.openxmlformats.org/drawingml/2006/main">
                  <a:graphicData uri="http://schemas.microsoft.com/office/word/2010/wordprocessingShape">
                    <wps:wsp>
                      <wps:cNvSpPr/>
                      <wps:spPr>
                        <a:xfrm>
                          <a:off x="0" y="0"/>
                          <a:ext cx="608965" cy="1284605"/>
                        </a:xfrm>
                        <a:prstGeom prst="flowChartAlternateProcess">
                          <a:avLst/>
                        </a:prstGeom>
                        <a:noFill/>
                        <a:ln w="19050"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eastAsia="宋体"/>
                                <w:sz w:val="24"/>
                                <w:szCs w:val="24"/>
                                <w:lang w:val="en-US" w:eastAsia="zh-CN"/>
                              </w:rPr>
                            </w:pPr>
                            <w:r>
                              <w:rPr>
                                <w:rFonts w:hint="eastAsia"/>
                                <w:sz w:val="24"/>
                                <w:szCs w:val="24"/>
                                <w:lang w:eastAsia="zh-CN"/>
                              </w:rPr>
                              <w:t>向相关部门提出</w:t>
                            </w:r>
                            <w:r>
                              <w:rPr>
                                <w:rFonts w:hint="eastAsia"/>
                                <w:sz w:val="24"/>
                                <w:szCs w:val="24"/>
                                <w:lang w:val="en-US" w:eastAsia="zh-CN"/>
                              </w:rPr>
                              <w:t>书面</w:t>
                            </w:r>
                            <w:r>
                              <w:rPr>
                                <w:rFonts w:hint="eastAsia"/>
                                <w:sz w:val="24"/>
                                <w:szCs w:val="24"/>
                                <w:lang w:eastAsia="zh-CN"/>
                              </w:rPr>
                              <w:t>复核</w:t>
                            </w:r>
                            <w:r>
                              <w:rPr>
                                <w:rFonts w:hint="eastAsia"/>
                                <w:sz w:val="24"/>
                                <w:szCs w:val="24"/>
                                <w:lang w:val="en-US" w:eastAsia="zh-CN"/>
                              </w:rPr>
                              <w:t>申请</w:t>
                            </w:r>
                          </w:p>
                        </w:txbxContent>
                      </wps:txbx>
                      <wps:bodyPr vert="eaVert" anchor="ctr" anchorCtr="0" upright="1"/>
                    </wps:wsp>
                  </a:graphicData>
                </a:graphic>
              </wp:anchor>
            </w:drawing>
          </mc:Choice>
          <mc:Fallback>
            <w:pict>
              <v:shape id="_x0000_s1026" o:spid="_x0000_s1026" o:spt="176" type="#_x0000_t176" style="position:absolute;left:0pt;margin-left:-18.75pt;margin-top:1.4pt;height:101.15pt;width:47.95pt;z-index:251663360;v-text-anchor:middle;mso-width-relative:page;mso-height-relative:page;" filled="f" stroked="t" coordsize="21600,21600" o:gfxdata="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N8L+DWAAAACAEAAA8AAAAAAAAAAQAgAAAAIgAAAGRycy9kb3du&#10;cmV2LnhtbFBLAQIUABQAAAAIAIdO4kAsSWpBOgIAAFIEAAAOAAAAAAAAAAEAIAAAACUBAABkcnMv&#10;ZTJvRG9jLnhtbFBLBQYAAAAABgAGAFkBAADRBQAAAAA=&#10;">
                <v:fill on="f" focussize="0,0"/>
                <v:stroke weight="1.5pt" color="#000000" joinstyle="miter"/>
                <v:imagedata o:title=""/>
                <o:lock v:ext="edit" aspectratio="f"/>
                <v:textbox style="layout-flow:vertical-ideographic;">
                  <w:txbxContent>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eastAsia="宋体"/>
                          <w:sz w:val="24"/>
                          <w:szCs w:val="24"/>
                          <w:lang w:val="en-US" w:eastAsia="zh-CN"/>
                        </w:rPr>
                      </w:pPr>
                      <w:r>
                        <w:rPr>
                          <w:rFonts w:hint="eastAsia"/>
                          <w:sz w:val="24"/>
                          <w:szCs w:val="24"/>
                          <w:lang w:eastAsia="zh-CN"/>
                        </w:rPr>
                        <w:t>向相关部门提出</w:t>
                      </w:r>
                      <w:r>
                        <w:rPr>
                          <w:rFonts w:hint="eastAsia"/>
                          <w:sz w:val="24"/>
                          <w:szCs w:val="24"/>
                          <w:lang w:val="en-US" w:eastAsia="zh-CN"/>
                        </w:rPr>
                        <w:t>书面</w:t>
                      </w:r>
                      <w:r>
                        <w:rPr>
                          <w:rFonts w:hint="eastAsia"/>
                          <w:sz w:val="24"/>
                          <w:szCs w:val="24"/>
                          <w:lang w:eastAsia="zh-CN"/>
                        </w:rPr>
                        <w:t>复核</w:t>
                      </w:r>
                      <w:r>
                        <w:rPr>
                          <w:rFonts w:hint="eastAsia"/>
                          <w:sz w:val="24"/>
                          <w:szCs w:val="24"/>
                          <w:lang w:val="en-US" w:eastAsia="zh-CN"/>
                        </w:rPr>
                        <w:t>申请</w:t>
                      </w:r>
                    </w:p>
                  </w:txbxContent>
                </v:textbox>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82816" behindDoc="0" locked="0" layoutInCell="1" allowOverlap="1">
                <wp:simplePos x="0" y="0"/>
                <wp:positionH relativeFrom="column">
                  <wp:posOffset>1068705</wp:posOffset>
                </wp:positionH>
                <wp:positionV relativeFrom="paragraph">
                  <wp:posOffset>200025</wp:posOffset>
                </wp:positionV>
                <wp:extent cx="3773170" cy="409575"/>
                <wp:effectExtent l="12700" t="12700" r="24130" b="22225"/>
                <wp:wrapNone/>
                <wp:docPr id="5" name="流程图: 可选过程 5"/>
                <wp:cNvGraphicFramePr/>
                <a:graphic xmlns:a="http://schemas.openxmlformats.org/drawingml/2006/main">
                  <a:graphicData uri="http://schemas.microsoft.com/office/word/2010/wordprocessingShape">
                    <wps:wsp>
                      <wps:cNvSpPr/>
                      <wps:spPr>
                        <a:xfrm>
                          <a:off x="0" y="0"/>
                          <a:ext cx="3773170" cy="409575"/>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color w:val="auto"/>
                                <w:sz w:val="24"/>
                                <w:szCs w:val="24"/>
                                <w:lang w:val="en-US" w:eastAsia="zh-CN"/>
                              </w:rPr>
                            </w:pPr>
                            <w:r>
                              <w:rPr>
                                <w:rFonts w:hint="eastAsia"/>
                                <w:color w:val="auto"/>
                                <w:sz w:val="24"/>
                                <w:szCs w:val="24"/>
                                <w:lang w:eastAsia="zh-CN"/>
                              </w:rPr>
                              <w:t>申请人在系统上查询积分</w:t>
                            </w:r>
                            <w:r>
                              <w:rPr>
                                <w:rFonts w:hint="eastAsia"/>
                                <w:color w:val="auto"/>
                                <w:sz w:val="24"/>
                                <w:szCs w:val="24"/>
                                <w:lang w:val="en-US" w:eastAsia="zh-CN"/>
                              </w:rPr>
                              <w:t>及排名</w:t>
                            </w:r>
                          </w:p>
                          <w:p>
                            <w:pPr>
                              <w:rPr>
                                <w:rFonts w:hint="eastAsia"/>
                                <w:lang w:eastAsia="zh-CN"/>
                              </w:rPr>
                            </w:pPr>
                          </w:p>
                        </w:txbxContent>
                      </wps:txbx>
                      <wps:bodyPr anchor="ctr" anchorCtr="0" upright="1"/>
                    </wps:wsp>
                  </a:graphicData>
                </a:graphic>
              </wp:anchor>
            </w:drawing>
          </mc:Choice>
          <mc:Fallback>
            <w:pict>
              <v:shape id="_x0000_s1026" o:spid="_x0000_s1026" o:spt="176" type="#_x0000_t176" style="position:absolute;left:0pt;margin-left:84.15pt;margin-top:15.75pt;height:32.25pt;width:297.1pt;z-index:251682816;v-text-anchor:middle;mso-width-relative:page;mso-height-relative:page;" fillcolor="#FFFFFF" filled="t" stroked="t" coordsize="21600,21600" o:gfxdata="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RTuNs9YAAAAJAQAADwAAAAAAAAABACAAAAAiAAAAZHJzL2Rvd25y&#10;ZXYueG1sUEsBAhQAFAAAAAgAh07iQOheYC85AgAAawQAAA4AAAAAAAAAAQAgAAAAJQEAAGRycy9l&#10;Mm9Eb2MueG1sUEsFBgAAAAAGAAYAWQEAANAFAAAAAA==&#10;">
                <v:fill on="t" focussize="0,0"/>
                <v:stroke weight="2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color w:val="auto"/>
                          <w:sz w:val="24"/>
                          <w:szCs w:val="24"/>
                          <w:lang w:val="en-US" w:eastAsia="zh-CN"/>
                        </w:rPr>
                      </w:pPr>
                      <w:r>
                        <w:rPr>
                          <w:rFonts w:hint="eastAsia"/>
                          <w:color w:val="auto"/>
                          <w:sz w:val="24"/>
                          <w:szCs w:val="24"/>
                          <w:lang w:eastAsia="zh-CN"/>
                        </w:rPr>
                        <w:t>申请人在系统上查询积分</w:t>
                      </w:r>
                      <w:r>
                        <w:rPr>
                          <w:rFonts w:hint="eastAsia"/>
                          <w:color w:val="auto"/>
                          <w:sz w:val="24"/>
                          <w:szCs w:val="24"/>
                          <w:lang w:val="en-US" w:eastAsia="zh-CN"/>
                        </w:rPr>
                        <w:t>及排名</w:t>
                      </w:r>
                    </w:p>
                    <w:p>
                      <w:pPr>
                        <w:rPr>
                          <w:rFonts w:hint="eastAsia"/>
                          <w:lang w:eastAsia="zh-CN"/>
                        </w:rPr>
                      </w:pPr>
                    </w:p>
                  </w:txbxContent>
                </v:textbox>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77696" behindDoc="0" locked="0" layoutInCell="1" allowOverlap="1">
                <wp:simplePos x="0" y="0"/>
                <wp:positionH relativeFrom="column">
                  <wp:posOffset>2871470</wp:posOffset>
                </wp:positionH>
                <wp:positionV relativeFrom="paragraph">
                  <wp:posOffset>346710</wp:posOffset>
                </wp:positionV>
                <wp:extent cx="2540" cy="254635"/>
                <wp:effectExtent l="52705" t="0" r="59055" b="12065"/>
                <wp:wrapNone/>
                <wp:docPr id="27" name="直接箭头连接符 27"/>
                <wp:cNvGraphicFramePr/>
                <a:graphic xmlns:a="http://schemas.openxmlformats.org/drawingml/2006/main">
                  <a:graphicData uri="http://schemas.microsoft.com/office/word/2010/wordprocessingShape">
                    <wps:wsp>
                      <wps:cNvCnPr/>
                      <wps:spPr>
                        <a:xfrm flipH="1">
                          <a:off x="0" y="0"/>
                          <a:ext cx="2540" cy="254635"/>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226.1pt;margin-top:27.3pt;height:20.05pt;width:0.2pt;z-index:251677696;mso-width-relative:page;mso-height-relative:page;" filled="f" stroked="t" coordsize="21600,21600" o:gfxdata="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rK+Rm1wAAAAkBAAAPAAAAAAAAAAEA&#10;IAAAACIAAABkcnMvZG93bnJldi54bWxQSwECFAAUAAAACACHTuJAZfSXxhACAAAGBAAADgAAAAAA&#10;AAABACAAAAAmAQAAZHJzL2Uyb0RvYy54bWxQSwUGAAAAAAYABgBZAQAAqAUAAAAA&#10;">
                <v:fill on="f" focussize="0,0"/>
                <v:stroke weight="1.5pt" color="#000000" joinstyle="round" endarrow="open"/>
                <v:imagedata o:title=""/>
                <o:lock v:ext="edit" aspectratio="f"/>
              </v:shape>
            </w:pict>
          </mc:Fallback>
        </mc:AlternateContent>
      </w:r>
      <w:r>
        <w:rPr>
          <w:color w:val="000000" w:themeColor="text1"/>
          <w:sz w:val="28"/>
          <w:u w:val="none"/>
          <w14:textFill>
            <w14:solidFill>
              <w14:schemeClr w14:val="tx1"/>
            </w14:solidFill>
          </w14:textFill>
        </w:rPr>
        <mc:AlternateContent>
          <mc:Choice Requires="wps">
            <w:drawing>
              <wp:anchor distT="0" distB="0" distL="114300" distR="114300" simplePos="0" relativeHeight="251676672" behindDoc="0" locked="0" layoutInCell="1" allowOverlap="1">
                <wp:simplePos x="0" y="0"/>
                <wp:positionH relativeFrom="column">
                  <wp:posOffset>414020</wp:posOffset>
                </wp:positionH>
                <wp:positionV relativeFrom="paragraph">
                  <wp:posOffset>27940</wp:posOffset>
                </wp:positionV>
                <wp:extent cx="647700" cy="635"/>
                <wp:effectExtent l="0" t="53340" r="0" b="60325"/>
                <wp:wrapNone/>
                <wp:docPr id="28" name="直接连接符 28"/>
                <wp:cNvGraphicFramePr/>
                <a:graphic xmlns:a="http://schemas.openxmlformats.org/drawingml/2006/main">
                  <a:graphicData uri="http://schemas.microsoft.com/office/word/2010/wordprocessingShape">
                    <wps:wsp>
                      <wps:cNvCnPr/>
                      <wps:spPr>
                        <a:xfrm flipH="1">
                          <a:off x="0" y="0"/>
                          <a:ext cx="647700" cy="635"/>
                        </a:xfrm>
                        <a:prstGeom prst="line">
                          <a:avLst/>
                        </a:prstGeom>
                        <a:ln w="19050" cap="flat" cmpd="sng">
                          <a:solidFill>
                            <a:srgbClr val="000000"/>
                          </a:solidFill>
                          <a:prstDash val="solid"/>
                          <a:headEnd type="none" w="med" len="med"/>
                          <a:tailEnd type="arrow" w="med" len="med"/>
                        </a:ln>
                      </wps:spPr>
                      <wps:bodyPr upright="1"/>
                    </wps:wsp>
                  </a:graphicData>
                </a:graphic>
              </wp:anchor>
            </w:drawing>
          </mc:Choice>
          <mc:Fallback>
            <w:pict>
              <v:line id="_x0000_s1026" o:spid="_x0000_s1026" o:spt="20" style="position:absolute;left:0pt;flip:x;margin-left:32.6pt;margin-top:2.2pt;height:0.05pt;width:51pt;z-index:251676672;mso-width-relative:page;mso-height-relative:page;" filled="f" stroked="t" coordsize="21600,21600" o:gfxdata="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r7zAD0gAAAAYBAAAPAAAAAAAAAAEAIAAAACIAAABkcnMvZG93bnJl&#10;di54bWxQSwECFAAUAAAACACHTuJAKByvqQMCAADzAwAADgAAAAAAAAABACAAAAAhAQAAZHJzL2Uy&#10;b0RvYy54bWxQSwUGAAAAAAYABgBZAQAAlgUAAAAA&#10;">
                <v:fill on="f" focussize="0,0"/>
                <v:stroke weight="1.5pt" color="#000000" joinstyle="round" endarrow="open"/>
                <v:imagedata o:title=""/>
                <o:lock v:ext="edit" aspectratio="f"/>
              </v:lin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1059180</wp:posOffset>
                </wp:positionH>
                <wp:positionV relativeFrom="paragraph">
                  <wp:posOffset>283845</wp:posOffset>
                </wp:positionV>
                <wp:extent cx="3773170" cy="409575"/>
                <wp:effectExtent l="12700" t="12700" r="24130" b="22225"/>
                <wp:wrapNone/>
                <wp:docPr id="12" name="流程图: 可选过程 12"/>
                <wp:cNvGraphicFramePr/>
                <a:graphic xmlns:a="http://schemas.openxmlformats.org/drawingml/2006/main">
                  <a:graphicData uri="http://schemas.microsoft.com/office/word/2010/wordprocessingShape">
                    <wps:wsp>
                      <wps:cNvSpPr/>
                      <wps:spPr>
                        <a:xfrm>
                          <a:off x="0" y="0"/>
                          <a:ext cx="3773170" cy="409575"/>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color w:val="auto"/>
                                <w:sz w:val="24"/>
                                <w:szCs w:val="24"/>
                                <w:lang w:eastAsia="zh-CN"/>
                              </w:rPr>
                            </w:pPr>
                            <w:r>
                              <w:rPr>
                                <w:rFonts w:hint="eastAsia"/>
                                <w:color w:val="auto"/>
                                <w:sz w:val="24"/>
                                <w:szCs w:val="24"/>
                                <w:lang w:val="en-US" w:eastAsia="zh-CN"/>
                              </w:rPr>
                              <w:t>公布“大学区”内学校</w:t>
                            </w:r>
                            <w:r>
                              <w:rPr>
                                <w:rFonts w:hint="eastAsia"/>
                                <w:color w:val="auto"/>
                                <w:sz w:val="24"/>
                                <w:szCs w:val="24"/>
                                <w:lang w:eastAsia="zh-CN"/>
                              </w:rPr>
                              <w:t>剩余学位情况</w:t>
                            </w:r>
                          </w:p>
                        </w:txbxContent>
                      </wps:txbx>
                      <wps:bodyPr anchor="ctr" anchorCtr="0" upright="1"/>
                    </wps:wsp>
                  </a:graphicData>
                </a:graphic>
              </wp:anchor>
            </w:drawing>
          </mc:Choice>
          <mc:Fallback>
            <w:pict>
              <v:shape id="_x0000_s1026" o:spid="_x0000_s1026" o:spt="176" type="#_x0000_t176" style="position:absolute;left:0pt;margin-left:83.4pt;margin-top:22.35pt;height:32.25pt;width:297.1pt;z-index:251667456;v-text-anchor:middle;mso-width-relative:page;mso-height-relative:page;" fillcolor="#FFFFFF" filled="t" stroked="t" coordsize="21600,21600" o:gfxdata="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r3Gbx1QAAAAoBAAAPAAAAAAAAAAEAIAAAACIAAABkcnMvZG93bnJl&#10;di54bWxQSwECFAAUAAAACACHTuJAgmnRiDkCAABtBAAADgAAAAAAAAABACAAAAAkAQAAZHJzL2Uy&#10;b0RvYy54bWxQSwUGAAAAAAYABgBZAQAAzwUAAAAA&#10;">
                <v:fill on="t" focussize="0,0"/>
                <v:stroke weight="2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color w:val="auto"/>
                          <w:sz w:val="24"/>
                          <w:szCs w:val="24"/>
                          <w:lang w:eastAsia="zh-CN"/>
                        </w:rPr>
                      </w:pPr>
                      <w:r>
                        <w:rPr>
                          <w:rFonts w:hint="eastAsia"/>
                          <w:color w:val="auto"/>
                          <w:sz w:val="24"/>
                          <w:szCs w:val="24"/>
                          <w:lang w:val="en-US" w:eastAsia="zh-CN"/>
                        </w:rPr>
                        <w:t>公布“大学区”内学校</w:t>
                      </w:r>
                      <w:r>
                        <w:rPr>
                          <w:rFonts w:hint="eastAsia"/>
                          <w:color w:val="auto"/>
                          <w:sz w:val="24"/>
                          <w:szCs w:val="24"/>
                          <w:lang w:eastAsia="zh-CN"/>
                        </w:rPr>
                        <w:t>剩余学位情况</w:t>
                      </w:r>
                    </w:p>
                  </w:txbxContent>
                </v:textbox>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1052195</wp:posOffset>
                </wp:positionH>
                <wp:positionV relativeFrom="paragraph">
                  <wp:posOffset>302260</wp:posOffset>
                </wp:positionV>
                <wp:extent cx="3772535" cy="431165"/>
                <wp:effectExtent l="12700" t="12700" r="24765" b="13335"/>
                <wp:wrapNone/>
                <wp:docPr id="25" name="流程图: 可选过程 25"/>
                <wp:cNvGraphicFramePr/>
                <a:graphic xmlns:a="http://schemas.openxmlformats.org/drawingml/2006/main">
                  <a:graphicData uri="http://schemas.microsoft.com/office/word/2010/wordprocessingShape">
                    <wps:wsp>
                      <wps:cNvSpPr/>
                      <wps:spPr>
                        <a:xfrm>
                          <a:off x="0" y="0"/>
                          <a:ext cx="3772535" cy="431165"/>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eastAsia="宋体"/>
                                <w:color w:val="auto"/>
                                <w:sz w:val="24"/>
                                <w:szCs w:val="24"/>
                                <w:lang w:val="en-US" w:eastAsia="zh-CN"/>
                              </w:rPr>
                            </w:pPr>
                            <w:r>
                              <w:rPr>
                                <w:rFonts w:hint="eastAsia"/>
                                <w:color w:val="auto"/>
                                <w:sz w:val="24"/>
                                <w:szCs w:val="24"/>
                                <w:lang w:eastAsia="zh-CN"/>
                              </w:rPr>
                              <w:t>填报“</w:t>
                            </w:r>
                            <w:r>
                              <w:rPr>
                                <w:rFonts w:hint="eastAsia"/>
                                <w:color w:val="auto"/>
                                <w:sz w:val="24"/>
                                <w:szCs w:val="24"/>
                                <w:lang w:val="en-US" w:eastAsia="zh-CN"/>
                              </w:rPr>
                              <w:t>大学区</w:t>
                            </w:r>
                            <w:r>
                              <w:rPr>
                                <w:rFonts w:hint="eastAsia"/>
                                <w:color w:val="auto"/>
                                <w:sz w:val="24"/>
                                <w:szCs w:val="24"/>
                                <w:lang w:eastAsia="zh-CN"/>
                              </w:rPr>
                              <w:t>”</w:t>
                            </w:r>
                            <w:r>
                              <w:rPr>
                                <w:rFonts w:hint="eastAsia"/>
                                <w:color w:val="auto"/>
                                <w:sz w:val="24"/>
                                <w:szCs w:val="24"/>
                                <w:lang w:val="en-US" w:eastAsia="zh-CN"/>
                              </w:rPr>
                              <w:t>内有剩余学位的学校及是否服从调剂</w:t>
                            </w:r>
                          </w:p>
                        </w:txbxContent>
                      </wps:txbx>
                      <wps:bodyPr anchor="ctr" anchorCtr="0" upright="1"/>
                    </wps:wsp>
                  </a:graphicData>
                </a:graphic>
              </wp:anchor>
            </w:drawing>
          </mc:Choice>
          <mc:Fallback>
            <w:pict>
              <v:shape id="_x0000_s1026" o:spid="_x0000_s1026" o:spt="176" type="#_x0000_t176" style="position:absolute;left:0pt;margin-left:82.85pt;margin-top:23.8pt;height:33.95pt;width:297.05pt;z-index:251671552;v-text-anchor:middle;mso-width-relative:page;mso-height-relative:page;" fillcolor="#FFFFFF" filled="t" stroked="t" coordsize="21600,21600" o:gfxdata="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L3sKd1QAAAAoBAAAPAAAAAAAAAAEAIAAAACIAAABkcnMvZG93bnJl&#10;di54bWxQSwECFAAUAAAACACHTuJAEDuKajkCAABtBAAADgAAAAAAAAABACAAAAAkAQAAZHJzL2Uy&#10;b0RvYy54bWxQSwUGAAAAAAYABgBZAQAAzwUAAAAA&#10;">
                <v:fill on="t" focussize="0,0"/>
                <v:stroke weight="2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eastAsia="宋体"/>
                          <w:color w:val="auto"/>
                          <w:sz w:val="24"/>
                          <w:szCs w:val="24"/>
                          <w:lang w:val="en-US" w:eastAsia="zh-CN"/>
                        </w:rPr>
                      </w:pPr>
                      <w:r>
                        <w:rPr>
                          <w:rFonts w:hint="eastAsia"/>
                          <w:color w:val="auto"/>
                          <w:sz w:val="24"/>
                          <w:szCs w:val="24"/>
                          <w:lang w:eastAsia="zh-CN"/>
                        </w:rPr>
                        <w:t>填报“</w:t>
                      </w:r>
                      <w:r>
                        <w:rPr>
                          <w:rFonts w:hint="eastAsia"/>
                          <w:color w:val="auto"/>
                          <w:sz w:val="24"/>
                          <w:szCs w:val="24"/>
                          <w:lang w:val="en-US" w:eastAsia="zh-CN"/>
                        </w:rPr>
                        <w:t>大学区</w:t>
                      </w:r>
                      <w:r>
                        <w:rPr>
                          <w:rFonts w:hint="eastAsia"/>
                          <w:color w:val="auto"/>
                          <w:sz w:val="24"/>
                          <w:szCs w:val="24"/>
                          <w:lang w:eastAsia="zh-CN"/>
                        </w:rPr>
                        <w:t>”</w:t>
                      </w:r>
                      <w:r>
                        <w:rPr>
                          <w:rFonts w:hint="eastAsia"/>
                          <w:color w:val="auto"/>
                          <w:sz w:val="24"/>
                          <w:szCs w:val="24"/>
                          <w:lang w:val="en-US" w:eastAsia="zh-CN"/>
                        </w:rPr>
                        <w:t>内有剩余学位的学校及是否服从调剂</w:t>
                      </w:r>
                    </w:p>
                  </w:txbxContent>
                </v:textbox>
              </v:shape>
            </w:pict>
          </mc:Fallback>
        </mc:AlternateContent>
      </w:r>
      <w:r>
        <w:rPr>
          <w:color w:val="000000" w:themeColor="text1"/>
          <w:sz w:val="28"/>
          <w:u w:val="none"/>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2862580</wp:posOffset>
                </wp:positionH>
                <wp:positionV relativeFrom="paragraph">
                  <wp:posOffset>5715</wp:posOffset>
                </wp:positionV>
                <wp:extent cx="0" cy="287020"/>
                <wp:effectExtent l="53975" t="0" r="60325" b="5080"/>
                <wp:wrapNone/>
                <wp:docPr id="20" name="直接箭头连接符 20"/>
                <wp:cNvGraphicFramePr/>
                <a:graphic xmlns:a="http://schemas.openxmlformats.org/drawingml/2006/main">
                  <a:graphicData uri="http://schemas.microsoft.com/office/word/2010/wordprocessingShape">
                    <wps:wsp>
                      <wps:cNvCnPr/>
                      <wps:spPr>
                        <a:xfrm>
                          <a:off x="0" y="0"/>
                          <a:ext cx="0" cy="287020"/>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margin-left:225.4pt;margin-top:0.45pt;height:22.6pt;width:0pt;z-index:251669504;mso-width-relative:page;mso-height-relative:page;" filled="f" stroked="t" coordsize="21600,21600" o:gfxdata="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XsJf1QAAAAcBAAAPAAAAAAAAAAEAIAAAACIAAABkcnMv&#10;ZG93bnJldi54bWxQSwECFAAUAAAACACHTuJAoEbi6AYCAAD5AwAADgAAAAAAAAABACAAAAAkAQAA&#10;ZHJzL2Uyb0RvYy54bWxQSwUGAAAAAAYABgBZAQAAnAUAAAAA&#10;">
                <v:fill on="f" focussize="0,0"/>
                <v:stroke weight="1.5pt" color="#000000" joinstyle="round" endarrow="open"/>
                <v:imagedata o:title=""/>
                <o:lock v:ext="edit" aspectratio="f"/>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1022350</wp:posOffset>
                </wp:positionH>
                <wp:positionV relativeFrom="paragraph">
                  <wp:posOffset>340360</wp:posOffset>
                </wp:positionV>
                <wp:extent cx="3822065" cy="505460"/>
                <wp:effectExtent l="12700" t="12700" r="13335" b="15240"/>
                <wp:wrapNone/>
                <wp:docPr id="13" name="流程图: 可选过程 13"/>
                <wp:cNvGraphicFramePr/>
                <a:graphic xmlns:a="http://schemas.openxmlformats.org/drawingml/2006/main">
                  <a:graphicData uri="http://schemas.microsoft.com/office/word/2010/wordprocessingShape">
                    <wps:wsp>
                      <wps:cNvSpPr/>
                      <wps:spPr>
                        <a:xfrm>
                          <a:off x="0" y="0"/>
                          <a:ext cx="3822065" cy="505460"/>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jc w:val="center"/>
                              <w:rPr>
                                <w:rFonts w:hint="default" w:eastAsia="宋体"/>
                                <w:sz w:val="24"/>
                                <w:szCs w:val="24"/>
                                <w:lang w:val="en-US" w:eastAsia="zh-CN"/>
                              </w:rPr>
                            </w:pPr>
                            <w:r>
                              <w:rPr>
                                <w:rFonts w:hint="eastAsia"/>
                                <w:sz w:val="24"/>
                                <w:szCs w:val="24"/>
                                <w:lang w:val="en-US" w:eastAsia="zh-CN"/>
                              </w:rPr>
                              <w:t>公布“大学区”内录取情况</w:t>
                            </w:r>
                          </w:p>
                        </w:txbxContent>
                      </wps:txbx>
                      <wps:bodyPr anchor="ctr" anchorCtr="0" upright="1"/>
                    </wps:wsp>
                  </a:graphicData>
                </a:graphic>
              </wp:anchor>
            </w:drawing>
          </mc:Choice>
          <mc:Fallback>
            <w:pict>
              <v:shape id="_x0000_s1026" o:spid="_x0000_s1026" o:spt="176" type="#_x0000_t176" style="position:absolute;left:0pt;margin-left:80.5pt;margin-top:26.8pt;height:39.8pt;width:300.95pt;z-index:251673600;v-text-anchor:middle;mso-width-relative:page;mso-height-relative:page;" fillcolor="#FFFFFF" filled="t" stroked="t" coordsize="21600,21600" o:gfxdata="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q9LUU1gAAAAoBAAAPAAAAAAAAAAEAIAAAACIAAABkcnMvZG93&#10;bnJldi54bWxQSwECFAAUAAAACACHTuJA3VUuITsCAABtBAAADgAAAAAAAAABACAAAAAlAQAAZHJz&#10;L2Uyb0RvYy54bWxQSwUGAAAAAAYABgBZAQAA0gUAAAAA&#10;">
                <v:fill on="t" focussize="0,0"/>
                <v:stroke weight="2pt" color="#000000" joinstyle="round"/>
                <v:imagedata o:title=""/>
                <o:lock v:ext="edit" aspectratio="f"/>
                <v:textbox>
                  <w:txbxContent>
                    <w:p>
                      <w:pPr>
                        <w:jc w:val="center"/>
                        <w:rPr>
                          <w:rFonts w:hint="default" w:eastAsia="宋体"/>
                          <w:sz w:val="24"/>
                          <w:szCs w:val="24"/>
                          <w:lang w:val="en-US" w:eastAsia="zh-CN"/>
                        </w:rPr>
                      </w:pPr>
                      <w:r>
                        <w:rPr>
                          <w:rFonts w:hint="eastAsia"/>
                          <w:sz w:val="24"/>
                          <w:szCs w:val="24"/>
                          <w:lang w:val="en-US" w:eastAsia="zh-CN"/>
                        </w:rPr>
                        <w:t>公布“大学区”内录取情况</w:t>
                      </w:r>
                    </w:p>
                  </w:txbxContent>
                </v:textbox>
              </v:shape>
            </w:pict>
          </mc:Fallback>
        </mc:AlternateContent>
      </w:r>
      <w:r>
        <w:rPr>
          <w:color w:val="000000" w:themeColor="text1"/>
          <w:sz w:val="28"/>
          <w:u w:val="none"/>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2871470</wp:posOffset>
                </wp:positionH>
                <wp:positionV relativeFrom="paragraph">
                  <wp:posOffset>86995</wp:posOffset>
                </wp:positionV>
                <wp:extent cx="0" cy="228600"/>
                <wp:effectExtent l="53975" t="0" r="60325" b="0"/>
                <wp:wrapNone/>
                <wp:docPr id="21" name="直接箭头连接符 21"/>
                <wp:cNvGraphicFramePr/>
                <a:graphic xmlns:a="http://schemas.openxmlformats.org/drawingml/2006/main">
                  <a:graphicData uri="http://schemas.microsoft.com/office/word/2010/wordprocessingShape">
                    <wps:wsp>
                      <wps:cNvCnPr/>
                      <wps:spPr>
                        <a:xfrm>
                          <a:off x="0" y="0"/>
                          <a:ext cx="0" cy="228600"/>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margin-left:226.1pt;margin-top:6.85pt;height:18pt;width:0pt;z-index:251674624;mso-width-relative:page;mso-height-relative:page;" filled="f" stroked="t" coordsize="21600,21600" o:gfxdata="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7XLzbYAAAACQEAAA8AAAAAAAAAAQAgAAAAIgAA&#10;AGRycy9kb3ducmV2LnhtbFBLAQIUABQAAAAIAIdO4kDT9LDaCAIAAPkDAAAOAAAAAAAAAAEAIAAA&#10;ACcBAABkcnMvZTJvRG9jLnhtbFBLBQYAAAAABgAGAFkBAAChBQAAAAA=&#10;">
                <v:fill on="f" focussize="0,0"/>
                <v:stroke weight="1.5pt" color="#000000" joinstyle="round" endarrow="open"/>
                <v:imagedata o:title=""/>
                <o:lock v:ext="edit" aspectratio="f"/>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79744" behindDoc="0" locked="0" layoutInCell="1" allowOverlap="1">
                <wp:simplePos x="0" y="0"/>
                <wp:positionH relativeFrom="column">
                  <wp:posOffset>4309745</wp:posOffset>
                </wp:positionH>
                <wp:positionV relativeFrom="paragraph">
                  <wp:posOffset>152400</wp:posOffset>
                </wp:positionV>
                <wp:extent cx="0" cy="259080"/>
                <wp:effectExtent l="53975" t="0" r="60325" b="7620"/>
                <wp:wrapNone/>
                <wp:docPr id="22" name="直接箭头连接符 22"/>
                <wp:cNvGraphicFramePr/>
                <a:graphic xmlns:a="http://schemas.openxmlformats.org/drawingml/2006/main">
                  <a:graphicData uri="http://schemas.microsoft.com/office/word/2010/wordprocessingShape">
                    <wps:wsp>
                      <wps:cNvCnPr/>
                      <wps:spPr>
                        <a:xfrm>
                          <a:off x="0" y="0"/>
                          <a:ext cx="0" cy="259080"/>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margin-left:339.35pt;margin-top:12pt;height:20.4pt;width:0pt;z-index:251679744;mso-width-relative:page;mso-height-relative:page;" filled="f" stroked="t" coordsize="21600,21600" o:gfxdata="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X5dqS2QAAAAkBAAAPAAAAAAAAAAEAIAAAACIA&#10;AABkcnMvZG93bnJldi54bWxQSwECFAAUAAAACACHTuJAZjYE3AgCAAD5AwAADgAAAAAAAAABACAA&#10;AAAoAQAAZHJzL2Uyb0RvYy54bWxQSwUGAAAAAAYABgBZAQAAogUAAAAA&#10;">
                <v:fill on="f" focussize="0,0"/>
                <v:stroke weight="1.5pt" color="#000000" joinstyle="round" endarrow="open"/>
                <v:imagedata o:title=""/>
                <o:lock v:ext="edit" aspectratio="f"/>
              </v:shape>
            </w:pict>
          </mc:Fallback>
        </mc:AlternateContent>
      </w:r>
      <w:r>
        <w:rPr>
          <w:color w:val="000000" w:themeColor="text1"/>
          <w:sz w:val="28"/>
          <w:u w:val="none"/>
          <w14:textFill>
            <w14:solidFill>
              <w14:schemeClr w14:val="tx1"/>
            </w14:solidFill>
          </w14:textFill>
        </w:rPr>
        <mc:AlternateContent>
          <mc:Choice Requires="wps">
            <w:drawing>
              <wp:anchor distT="0" distB="0" distL="114300" distR="114300" simplePos="0" relativeHeight="251678720" behindDoc="0" locked="0" layoutInCell="1" allowOverlap="1">
                <wp:simplePos x="0" y="0"/>
                <wp:positionH relativeFrom="column">
                  <wp:posOffset>1464945</wp:posOffset>
                </wp:positionH>
                <wp:positionV relativeFrom="paragraph">
                  <wp:posOffset>152400</wp:posOffset>
                </wp:positionV>
                <wp:extent cx="0" cy="259080"/>
                <wp:effectExtent l="53975" t="0" r="60325" b="7620"/>
                <wp:wrapNone/>
                <wp:docPr id="17" name="直接箭头连接符 17"/>
                <wp:cNvGraphicFramePr/>
                <a:graphic xmlns:a="http://schemas.openxmlformats.org/drawingml/2006/main">
                  <a:graphicData uri="http://schemas.microsoft.com/office/word/2010/wordprocessingShape">
                    <wps:wsp>
                      <wps:cNvCnPr/>
                      <wps:spPr>
                        <a:xfrm>
                          <a:off x="0" y="0"/>
                          <a:ext cx="0" cy="259080"/>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margin-left:115.35pt;margin-top:12pt;height:20.4pt;width:0pt;z-index:251678720;mso-width-relative:page;mso-height-relative:page;" filled="f" stroked="t" coordsize="21600,21600" o:gfxdata="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HxvH/YAAAACQEAAA8AAAAAAAAAAQAgAAAAIgAA&#10;AGRycy9kb3ducmV2LnhtbFBLAQIUABQAAAAIAIdO4kDW5/9QCAIAAPkDAAAOAAAAAAAAAAEAIAAA&#10;ACcBAABkcnMvZTJvRG9jLnhtbFBLBQYAAAAABgAGAFkBAAChBQAAAAA=&#10;">
                <v:fill on="f" focussize="0,0"/>
                <v:stroke weight="1.5pt" color="#000000" joinstyle="round" endarrow="open"/>
                <v:imagedata o:title=""/>
                <o:lock v:ext="edit" aspectratio="f"/>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3256280</wp:posOffset>
                </wp:positionH>
                <wp:positionV relativeFrom="paragraph">
                  <wp:posOffset>86360</wp:posOffset>
                </wp:positionV>
                <wp:extent cx="2140585" cy="835025"/>
                <wp:effectExtent l="12700" t="12700" r="18415" b="15875"/>
                <wp:wrapNone/>
                <wp:docPr id="15" name="流程图: 可选过程 15"/>
                <wp:cNvGraphicFramePr/>
                <a:graphic xmlns:a="http://schemas.openxmlformats.org/drawingml/2006/main">
                  <a:graphicData uri="http://schemas.microsoft.com/office/word/2010/wordprocessingShape">
                    <wps:wsp>
                      <wps:cNvSpPr/>
                      <wps:spPr>
                        <a:xfrm>
                          <a:off x="0" y="0"/>
                          <a:ext cx="2140585" cy="835025"/>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eastAsia="宋体"/>
                                <w:sz w:val="24"/>
                                <w:szCs w:val="24"/>
                                <w:lang w:val="en-US" w:eastAsia="zh-CN"/>
                              </w:rPr>
                            </w:pPr>
                            <w:r>
                              <w:rPr>
                                <w:rFonts w:hint="eastAsia" w:eastAsia="宋体"/>
                                <w:sz w:val="24"/>
                                <w:szCs w:val="24"/>
                                <w:lang w:val="en-US" w:eastAsia="zh-CN"/>
                              </w:rPr>
                              <w:t>未被“大学区”内意愿学校录取，若不服从调剂，教育部门不再安排公办学位</w:t>
                            </w:r>
                          </w:p>
                        </w:txbxContent>
                      </wps:txbx>
                      <wps:bodyPr anchor="ctr" anchorCtr="0" upright="1"/>
                    </wps:wsp>
                  </a:graphicData>
                </a:graphic>
              </wp:anchor>
            </w:drawing>
          </mc:Choice>
          <mc:Fallback>
            <w:pict>
              <v:shape id="_x0000_s1026" o:spid="_x0000_s1026" o:spt="176" type="#_x0000_t176" style="position:absolute;left:0pt;margin-left:256.4pt;margin-top:6.8pt;height:65.75pt;width:168.55pt;z-index:251668480;v-text-anchor:middle;mso-width-relative:page;mso-height-relative:page;" fillcolor="#FFFFFF" filled="t" stroked="t" coordsize="21600,21600" o:gfxdata="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0o2KONcAAAAKAQAADwAAAAAAAAABACAAAAAiAAAAZHJzL2Rvd25y&#10;ZXYueG1sUEsBAhQAFAAAAAgAh07iQEVXIh04AgAAbQQAAA4AAAAAAAAAAQAgAAAAJgEAAGRycy9l&#10;Mm9Eb2MueG1sUEsFBgAAAAAGAAYAWQEAANAFAAAAAA==&#10;">
                <v:fill on="t" focussize="0,0"/>
                <v:stroke weight="2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eastAsia="宋体"/>
                          <w:sz w:val="24"/>
                          <w:szCs w:val="24"/>
                          <w:lang w:val="en-US" w:eastAsia="zh-CN"/>
                        </w:rPr>
                      </w:pPr>
                      <w:r>
                        <w:rPr>
                          <w:rFonts w:hint="eastAsia" w:eastAsia="宋体"/>
                          <w:sz w:val="24"/>
                          <w:szCs w:val="24"/>
                          <w:lang w:val="en-US" w:eastAsia="zh-CN"/>
                        </w:rPr>
                        <w:t>未被“大学区”内意愿学校录取，若不服从调剂，教育部门不再安排公办学位</w:t>
                      </w:r>
                    </w:p>
                  </w:txbxContent>
                </v:textbox>
              </v:shape>
            </w:pict>
          </mc:Fallback>
        </mc:AlternateContent>
      </w:r>
      <w:r>
        <w:rPr>
          <w:color w:val="000000" w:themeColor="text1"/>
          <w:sz w:val="28"/>
          <w:u w:val="none"/>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173355</wp:posOffset>
                </wp:positionH>
                <wp:positionV relativeFrom="paragraph">
                  <wp:posOffset>104140</wp:posOffset>
                </wp:positionV>
                <wp:extent cx="2150745" cy="825500"/>
                <wp:effectExtent l="12700" t="12700" r="20955" b="12700"/>
                <wp:wrapNone/>
                <wp:docPr id="18" name="流程图: 可选过程 18"/>
                <wp:cNvGraphicFramePr/>
                <a:graphic xmlns:a="http://schemas.openxmlformats.org/drawingml/2006/main">
                  <a:graphicData uri="http://schemas.microsoft.com/office/word/2010/wordprocessingShape">
                    <wps:wsp>
                      <wps:cNvSpPr/>
                      <wps:spPr>
                        <a:xfrm>
                          <a:off x="0" y="0"/>
                          <a:ext cx="2150745" cy="825500"/>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eastAsia="宋体"/>
                                <w:sz w:val="24"/>
                                <w:szCs w:val="24"/>
                                <w:lang w:val="en-US" w:eastAsia="zh-CN"/>
                              </w:rPr>
                            </w:pPr>
                            <w:r>
                              <w:rPr>
                                <w:rFonts w:hint="eastAsia" w:eastAsia="宋体"/>
                                <w:sz w:val="24"/>
                                <w:szCs w:val="24"/>
                                <w:lang w:val="en-US" w:eastAsia="zh-CN"/>
                              </w:rPr>
                              <w:t>未被“大学区”内意愿学校录取，若服从调剂，教育部门统筹协调安排公办学位</w:t>
                            </w:r>
                          </w:p>
                        </w:txbxContent>
                      </wps:txbx>
                      <wps:bodyPr anchor="ctr" anchorCtr="0" upright="1"/>
                    </wps:wsp>
                  </a:graphicData>
                </a:graphic>
              </wp:anchor>
            </w:drawing>
          </mc:Choice>
          <mc:Fallback>
            <w:pict>
              <v:shape id="_x0000_s1026" o:spid="_x0000_s1026" o:spt="176" type="#_x0000_t176" style="position:absolute;left:0pt;margin-left:13.65pt;margin-top:8.2pt;height:65pt;width:169.35pt;z-index:251670528;v-text-anchor:middle;mso-width-relative:page;mso-height-relative:page;" fillcolor="#FFFFFF" filled="t" stroked="t" coordsize="21600,21600" o:gfxdata="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QrjlnUAAAACQEAAA8AAAAAAAAAAQAgAAAAIgAAAGRycy9kb3ducmV2&#10;LnhtbFBLAQIUABQAAAAIAIdO4kBCUnPdOQIAAG0EAAAOAAAAAAAAAAEAIAAAACMBAABkcnMvZTJv&#10;RG9jLnhtbFBLBQYAAAAABgAGAFkBAADOBQAAAAA=&#10;">
                <v:fill on="t" focussize="0,0"/>
                <v:stroke weight="2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eastAsia="宋体"/>
                          <w:sz w:val="24"/>
                          <w:szCs w:val="24"/>
                          <w:lang w:val="en-US" w:eastAsia="zh-CN"/>
                        </w:rPr>
                      </w:pPr>
                      <w:r>
                        <w:rPr>
                          <w:rFonts w:hint="eastAsia" w:eastAsia="宋体"/>
                          <w:sz w:val="24"/>
                          <w:szCs w:val="24"/>
                          <w:lang w:val="en-US" w:eastAsia="zh-CN"/>
                        </w:rPr>
                        <w:t>未被“大学区”内意愿学校录取，若服从调剂，教育部门统筹协调安排公办学位</w:t>
                      </w:r>
                    </w:p>
                  </w:txbxContent>
                </v:textbox>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80768" behindDoc="0" locked="0" layoutInCell="1" allowOverlap="1">
                <wp:simplePos x="0" y="0"/>
                <wp:positionH relativeFrom="column">
                  <wp:posOffset>3034665</wp:posOffset>
                </wp:positionH>
                <wp:positionV relativeFrom="paragraph">
                  <wp:posOffset>231775</wp:posOffset>
                </wp:positionV>
                <wp:extent cx="497205" cy="328295"/>
                <wp:effectExtent l="0" t="8255" r="10795" b="6350"/>
                <wp:wrapNone/>
                <wp:docPr id="19" name="直接箭头连接符 19"/>
                <wp:cNvGraphicFramePr/>
                <a:graphic xmlns:a="http://schemas.openxmlformats.org/drawingml/2006/main">
                  <a:graphicData uri="http://schemas.microsoft.com/office/word/2010/wordprocessingShape">
                    <wps:wsp>
                      <wps:cNvCnPr/>
                      <wps:spPr>
                        <a:xfrm flipH="1">
                          <a:off x="0" y="0"/>
                          <a:ext cx="497205" cy="328295"/>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238.95pt;margin-top:18.25pt;height:25.85pt;width:39.15pt;z-index:251680768;mso-width-relative:page;mso-height-relative:page;" filled="f" stroked="t" coordsize="21600,21600" o:gfxdata="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wOUyHZAAAACQEAAA8AAAAA&#10;AAAAAQAgAAAAIgAAAGRycy9kb3ducmV2LnhtbFBLAQIUABQAAAAIAIdO4kDSgc1CEwIAAAgEAAAO&#10;AAAAAAAAAAEAIAAAACgBAABkcnMvZTJvRG9jLnhtbFBLBQYAAAAABgAGAFkBAACtBQAAAAA=&#10;">
                <v:fill on="f" focussize="0,0"/>
                <v:stroke weight="1.5pt" color="#000000" joinstyle="round" endarrow="open"/>
                <v:imagedata o:title=""/>
                <o:lock v:ext="edit" aspectratio="f"/>
              </v:shape>
            </w:pict>
          </mc:Fallback>
        </mc:AlternateContent>
      </w:r>
      <w:r>
        <w:rPr>
          <w:color w:val="000000" w:themeColor="text1"/>
          <w:sz w:val="28"/>
          <w:u w:val="none"/>
          <w14:textFill>
            <w14:solidFill>
              <w14:schemeClr w14:val="tx1"/>
            </w14:solidFill>
          </w14:textFill>
        </w:rPr>
        <mc:AlternateContent>
          <mc:Choice Requires="wps">
            <w:drawing>
              <wp:anchor distT="0" distB="0" distL="114300" distR="114300" simplePos="0" relativeHeight="251675648" behindDoc="0" locked="0" layoutInCell="1" allowOverlap="1">
                <wp:simplePos x="0" y="0"/>
                <wp:positionH relativeFrom="column">
                  <wp:posOffset>1960245</wp:posOffset>
                </wp:positionH>
                <wp:positionV relativeFrom="paragraph">
                  <wp:posOffset>241300</wp:posOffset>
                </wp:positionV>
                <wp:extent cx="426720" cy="328295"/>
                <wp:effectExtent l="5715" t="7620" r="12065" b="6985"/>
                <wp:wrapNone/>
                <wp:docPr id="14" name="直接箭头连接符 14"/>
                <wp:cNvGraphicFramePr/>
                <a:graphic xmlns:a="http://schemas.openxmlformats.org/drawingml/2006/main">
                  <a:graphicData uri="http://schemas.microsoft.com/office/word/2010/wordprocessingShape">
                    <wps:wsp>
                      <wps:cNvCnPr/>
                      <wps:spPr>
                        <a:xfrm>
                          <a:off x="0" y="0"/>
                          <a:ext cx="426720" cy="328295"/>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margin-left:154.35pt;margin-top:19pt;height:25.85pt;width:33.6pt;z-index:251675648;mso-width-relative:page;mso-height-relative:page;" filled="f" stroked="t" coordsize="21600,21600" o:gfxdata="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uesoHYAAAACQEAAA8AAAAAAAAAAQAgAAAA&#10;IgAAAGRycy9kb3ducmV2LnhtbFBLAQIUABQAAAAIAIdO4kDImzk4CwIAAP4DAAAOAAAAAAAAAAEA&#10;IAAAACcBAABkcnMvZTJvRG9jLnhtbFBLBQYAAAAABgAGAFkBAACkBQAAAAA=&#10;">
                <v:fill on="f" focussize="0,0"/>
                <v:stroke weight="1.5pt" color="#000000" joinstyle="round" endarrow="open"/>
                <v:imagedata o:title=""/>
                <o:lock v:ext="edit" aspectratio="f"/>
              </v:shape>
            </w:pict>
          </mc:Fallback>
        </mc:AlternateContent>
      </w: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color w:val="000000" w:themeColor="text1"/>
          <w:sz w:val="28"/>
          <w:u w:val="none"/>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867410</wp:posOffset>
                </wp:positionH>
                <wp:positionV relativeFrom="paragraph">
                  <wp:posOffset>254635</wp:posOffset>
                </wp:positionV>
                <wp:extent cx="3808095" cy="505460"/>
                <wp:effectExtent l="12700" t="12700" r="14605" b="15240"/>
                <wp:wrapNone/>
                <wp:docPr id="23" name="流程图: 可选过程 23"/>
                <wp:cNvGraphicFramePr/>
                <a:graphic xmlns:a="http://schemas.openxmlformats.org/drawingml/2006/main">
                  <a:graphicData uri="http://schemas.microsoft.com/office/word/2010/wordprocessingShape">
                    <wps:wsp>
                      <wps:cNvSpPr/>
                      <wps:spPr>
                        <a:xfrm>
                          <a:off x="0" y="0"/>
                          <a:ext cx="3808095" cy="505460"/>
                        </a:xfrm>
                        <a:prstGeom prst="flowChartAlternateProcess">
                          <a:avLst/>
                        </a:prstGeom>
                        <a:solidFill>
                          <a:srgbClr val="FFFFFF"/>
                        </a:solidFill>
                        <a:ln w="25400" cap="flat" cmpd="sng">
                          <a:solidFill>
                            <a:srgbClr val="000000"/>
                          </a:solidFill>
                          <a:prstDash val="solid"/>
                          <a:round/>
                          <a:headEnd type="none" w="med" len="med"/>
                          <a:tailEnd type="none" w="med" len="med"/>
                        </a:ln>
                      </wps:spPr>
                      <wps:txbx>
                        <w:txbxContent>
                          <w:p>
                            <w:pPr>
                              <w:jc w:val="center"/>
                              <w:rPr>
                                <w:rFonts w:hint="default" w:eastAsia="宋体"/>
                                <w:sz w:val="24"/>
                                <w:szCs w:val="24"/>
                                <w:lang w:val="en-US" w:eastAsia="zh-CN"/>
                              </w:rPr>
                            </w:pPr>
                            <w:r>
                              <w:rPr>
                                <w:rFonts w:hint="eastAsia"/>
                                <w:sz w:val="24"/>
                                <w:szCs w:val="24"/>
                                <w:lang w:eastAsia="zh-CN"/>
                              </w:rPr>
                              <w:t>查询</w:t>
                            </w:r>
                            <w:r>
                              <w:rPr>
                                <w:rFonts w:hint="eastAsia"/>
                                <w:sz w:val="24"/>
                                <w:szCs w:val="24"/>
                                <w:lang w:val="en-US" w:eastAsia="zh-CN"/>
                              </w:rPr>
                              <w:t>最后</w:t>
                            </w:r>
                            <w:r>
                              <w:rPr>
                                <w:rFonts w:hint="eastAsia"/>
                                <w:sz w:val="24"/>
                                <w:szCs w:val="24"/>
                                <w:lang w:eastAsia="zh-CN"/>
                              </w:rPr>
                              <w:t>录取情况</w:t>
                            </w:r>
                          </w:p>
                        </w:txbxContent>
                      </wps:txbx>
                      <wps:bodyPr anchor="ctr" anchorCtr="0" upright="1"/>
                    </wps:wsp>
                  </a:graphicData>
                </a:graphic>
              </wp:anchor>
            </w:drawing>
          </mc:Choice>
          <mc:Fallback>
            <w:pict>
              <v:shape id="_x0000_s1026" o:spid="_x0000_s1026" o:spt="176" type="#_x0000_t176" style="position:absolute;left:0pt;margin-left:68.3pt;margin-top:20.05pt;height:39.8pt;width:299.85pt;z-index:251672576;v-text-anchor:middle;mso-width-relative:page;mso-height-relative:page;" fillcolor="#FFFFFF" filled="t" stroked="t" coordsize="21600,21600" o:gfxdata="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Iu8g/bVAAAACgEAAA8AAAAAAAAAAQAgAAAAIgAAAGRycy9kb3du&#10;cmV2LnhtbFBLAQIUABQAAAAIAIdO4kCN7FocOwIAAG0EAAAOAAAAAAAAAAEAIAAAACQBAABkcnMv&#10;ZTJvRG9jLnhtbFBLBQYAAAAABgAGAFkBAADRBQAAAAA=&#10;">
                <v:fill on="t" focussize="0,0"/>
                <v:stroke weight="2pt" color="#000000" joinstyle="round"/>
                <v:imagedata o:title=""/>
                <o:lock v:ext="edit" aspectratio="f"/>
                <v:textbox>
                  <w:txbxContent>
                    <w:p>
                      <w:pPr>
                        <w:jc w:val="center"/>
                        <w:rPr>
                          <w:rFonts w:hint="default" w:eastAsia="宋体"/>
                          <w:sz w:val="24"/>
                          <w:szCs w:val="24"/>
                          <w:lang w:val="en-US" w:eastAsia="zh-CN"/>
                        </w:rPr>
                      </w:pPr>
                      <w:r>
                        <w:rPr>
                          <w:rFonts w:hint="eastAsia"/>
                          <w:sz w:val="24"/>
                          <w:szCs w:val="24"/>
                          <w:lang w:eastAsia="zh-CN"/>
                        </w:rPr>
                        <w:t>查询</w:t>
                      </w:r>
                      <w:r>
                        <w:rPr>
                          <w:rFonts w:hint="eastAsia"/>
                          <w:sz w:val="24"/>
                          <w:szCs w:val="24"/>
                          <w:lang w:val="en-US" w:eastAsia="zh-CN"/>
                        </w:rPr>
                        <w:t>最后</w:t>
                      </w:r>
                      <w:r>
                        <w:rPr>
                          <w:rFonts w:hint="eastAsia"/>
                          <w:sz w:val="24"/>
                          <w:szCs w:val="24"/>
                          <w:lang w:eastAsia="zh-CN"/>
                        </w:rPr>
                        <w:t>录取情况</w:t>
                      </w:r>
                    </w:p>
                  </w:txbxContent>
                </v:textbox>
              </v:shape>
            </w:pict>
          </mc:Fallback>
        </mc:AlternateContent>
      </w:r>
    </w:p>
    <w:p>
      <w:pPr>
        <w:rPr>
          <w:color w:val="000000" w:themeColor="text1"/>
          <w:u w:val="none"/>
          <w14:textFill>
            <w14:solidFill>
              <w14:schemeClr w14:val="tx1"/>
            </w14:solidFill>
          </w14:textFill>
        </w:rPr>
      </w:pP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6"/>
        <w:widowControl/>
        <w:shd w:val="clear" w:color="auto" w:fill="FFFFFF"/>
        <w:spacing w:before="0" w:beforeAutospacing="0" w:after="0" w:afterAutospacing="0" w:line="560" w:lineRule="exact"/>
        <w:jc w:val="both"/>
        <w:rPr>
          <w:rFonts w:hint="eastAsia" w:ascii="仿宋_GB2312" w:hAnsi="仿宋_GB2312" w:eastAsia="仿宋_GB2312" w:cs="仿宋_GB2312"/>
          <w:b/>
          <w:bCs/>
          <w:color w:val="000000" w:themeColor="text1"/>
          <w:sz w:val="28"/>
          <w:szCs w:val="28"/>
          <w:u w:val="none"/>
          <w14:textFill>
            <w14:solidFill>
              <w14:schemeClr w14:val="tx1"/>
            </w14:solidFill>
          </w14:textFill>
        </w:rPr>
      </w:pPr>
      <w:r>
        <w:rPr>
          <w:rFonts w:hint="eastAsia" w:ascii="仿宋_GB2312" w:hAnsi="仿宋_GB2312" w:eastAsia="仿宋_GB2312" w:cs="仿宋_GB2312"/>
          <w:b/>
          <w:bCs/>
          <w:color w:val="000000" w:themeColor="text1"/>
          <w:sz w:val="28"/>
          <w:szCs w:val="28"/>
          <w:u w:val="none"/>
          <w14:textFill>
            <w14:solidFill>
              <w14:schemeClr w14:val="tx1"/>
            </w14:solidFill>
          </w14:textFill>
        </w:rPr>
        <w:t>附</w:t>
      </w:r>
      <w:r>
        <w:rPr>
          <w:rFonts w:hint="eastAsia" w:ascii="仿宋_GB2312" w:hAnsi="仿宋_GB2312" w:eastAsia="仿宋_GB2312" w:cs="仿宋_GB2312"/>
          <w:b/>
          <w:bCs/>
          <w:color w:val="000000" w:themeColor="text1"/>
          <w:sz w:val="28"/>
          <w:szCs w:val="28"/>
          <w:u w:val="none"/>
          <w:lang w:val="en-US" w:eastAsia="zh-CN"/>
          <w14:textFill>
            <w14:solidFill>
              <w14:schemeClr w14:val="tx1"/>
            </w14:solidFill>
          </w14:textFill>
        </w:rPr>
        <w:t>件2</w:t>
      </w:r>
    </w:p>
    <w:p>
      <w:pPr>
        <w:pStyle w:val="6"/>
        <w:widowControl/>
        <w:shd w:val="clear" w:color="auto" w:fill="FFFFFF"/>
        <w:spacing w:before="0" w:beforeAutospacing="0" w:after="0" w:afterAutospacing="0" w:line="560" w:lineRule="exact"/>
        <w:jc w:val="center"/>
        <w:rPr>
          <w:rFonts w:hint="default" w:ascii="宋体" w:hAnsi="宋体" w:eastAsia="宋体" w:cs="宋体"/>
          <w:b/>
          <w:bCs/>
          <w:color w:val="000000" w:themeColor="text1"/>
          <w:sz w:val="32"/>
          <w:szCs w:val="32"/>
          <w:u w:val="none"/>
          <w:lang w:val="en-US" w:eastAsia="zh-CN"/>
          <w14:textFill>
            <w14:solidFill>
              <w14:schemeClr w14:val="tx1"/>
            </w14:solidFill>
          </w14:textFill>
        </w:rPr>
      </w:pPr>
      <w:r>
        <w:rPr>
          <w:rFonts w:hint="eastAsia" w:ascii="宋体" w:hAnsi="宋体" w:eastAsia="宋体" w:cs="宋体"/>
          <w:b/>
          <w:bCs/>
          <w:color w:val="000000" w:themeColor="text1"/>
          <w:sz w:val="32"/>
          <w:szCs w:val="32"/>
          <w:u w:val="none"/>
          <w:lang w:val="en-US" w:eastAsia="zh-CN"/>
          <w14:textFill>
            <w14:solidFill>
              <w14:schemeClr w14:val="tx1"/>
            </w14:solidFill>
          </w14:textFill>
        </w:rPr>
        <w:t>清城区区外户籍适龄儿童（少年）申请</w:t>
      </w:r>
      <w:r>
        <w:rPr>
          <w:rFonts w:hint="eastAsia" w:ascii="宋体" w:hAnsi="宋体" w:eastAsia="宋体" w:cs="宋体"/>
          <w:b/>
          <w:bCs/>
          <w:color w:val="000000" w:themeColor="text1"/>
          <w:sz w:val="32"/>
          <w:szCs w:val="32"/>
          <w:u w:val="none"/>
          <w:lang w:val="en-US" w:eastAsia="zh-Hans"/>
          <w14:textFill>
            <w14:solidFill>
              <w14:schemeClr w14:val="tx1"/>
            </w14:solidFill>
          </w14:textFill>
        </w:rPr>
        <w:t>入</w:t>
      </w:r>
      <w:r>
        <w:rPr>
          <w:rFonts w:hint="eastAsia" w:ascii="宋体" w:hAnsi="宋体" w:eastAsia="宋体" w:cs="宋体"/>
          <w:b/>
          <w:bCs/>
          <w:color w:val="000000" w:themeColor="text1"/>
          <w:sz w:val="32"/>
          <w:szCs w:val="32"/>
          <w:u w:val="none"/>
          <w:lang w:val="en-US" w:eastAsia="zh-CN"/>
          <w14:textFill>
            <w14:solidFill>
              <w14:schemeClr w14:val="tx1"/>
            </w14:solidFill>
          </w14:textFill>
        </w:rPr>
        <w:t>读公办学校</w:t>
      </w:r>
    </w:p>
    <w:p>
      <w:pPr>
        <w:pStyle w:val="6"/>
        <w:widowControl/>
        <w:shd w:val="clear" w:color="auto" w:fill="FFFFFF"/>
        <w:spacing w:before="0" w:beforeAutospacing="0" w:after="0" w:afterAutospacing="0" w:line="560" w:lineRule="exact"/>
        <w:jc w:val="center"/>
        <w:rPr>
          <w:rFonts w:hint="eastAsia" w:ascii="宋体" w:hAnsi="宋体" w:eastAsia="宋体" w:cs="宋体"/>
          <w:b/>
          <w:bCs/>
          <w:color w:val="000000" w:themeColor="text1"/>
          <w:sz w:val="32"/>
          <w:szCs w:val="32"/>
          <w:u w:val="none"/>
          <w:lang w:eastAsia="zh-CN"/>
          <w14:textFill>
            <w14:solidFill>
              <w14:schemeClr w14:val="tx1"/>
            </w14:solidFill>
          </w14:textFill>
        </w:rPr>
      </w:pPr>
      <w:r>
        <w:rPr>
          <w:rFonts w:hint="eastAsia" w:ascii="宋体" w:hAnsi="宋体" w:eastAsia="宋体" w:cs="宋体"/>
          <w:b/>
          <w:bCs/>
          <w:color w:val="000000" w:themeColor="text1"/>
          <w:sz w:val="32"/>
          <w:szCs w:val="32"/>
          <w:u w:val="none"/>
          <w:lang w:val="en-US" w:eastAsia="zh-CN"/>
          <w14:textFill>
            <w14:solidFill>
              <w14:schemeClr w14:val="tx1"/>
            </w14:solidFill>
          </w14:textFill>
        </w:rPr>
        <w:t>积分项目及分值表</w:t>
      </w:r>
    </w:p>
    <w:tbl>
      <w:tblPr>
        <w:tblStyle w:val="7"/>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735"/>
        <w:gridCol w:w="913"/>
        <w:gridCol w:w="3755"/>
        <w:gridCol w:w="1617"/>
        <w:gridCol w:w="1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jc w:val="center"/>
        </w:trPr>
        <w:tc>
          <w:tcPr>
            <w:tcW w:w="776" w:type="dxa"/>
            <w:noWrap w:val="0"/>
            <w:vAlign w:val="center"/>
          </w:tcPr>
          <w:p>
            <w:pPr>
              <w:keepNext w:val="0"/>
              <w:keepLines w:val="0"/>
              <w:pageBreakBefore w:val="0"/>
              <w:kinsoku/>
              <w:wordWrap/>
              <w:overflowPunct/>
              <w:topLinePunct w:val="0"/>
              <w:autoSpaceDE/>
              <w:autoSpaceDN/>
              <w:bidi w:val="0"/>
              <w:adjustRightInd/>
              <w:snapToGrid/>
              <w:spacing w:line="280" w:lineRule="exact"/>
              <w:rPr>
                <w:rFonts w:hint="eastAsia" w:ascii="仿宋_GB2312" w:hAnsi="仿宋_GB2312" w:eastAsia="仿宋_GB2312" w:cs="仿宋_GB2312"/>
                <w:b/>
                <w:color w:val="000000" w:themeColor="text1"/>
                <w:sz w:val="24"/>
                <w:szCs w:val="24"/>
                <w:u w:val="none"/>
                <w14:textFill>
                  <w14:solidFill>
                    <w14:schemeClr w14:val="tx1"/>
                  </w14:solidFill>
                </w14:textFill>
              </w:rPr>
            </w:pPr>
            <w:r>
              <w:rPr>
                <w:rFonts w:hint="eastAsia" w:ascii="仿宋_GB2312" w:hAnsi="仿宋_GB2312" w:eastAsia="仿宋_GB2312" w:cs="仿宋_GB2312"/>
                <w:b/>
                <w:color w:val="000000" w:themeColor="text1"/>
                <w:sz w:val="24"/>
                <w:szCs w:val="24"/>
                <w:u w:val="none"/>
                <w14:textFill>
                  <w14:solidFill>
                    <w14:schemeClr w14:val="tx1"/>
                  </w14:solidFill>
                </w14:textFill>
              </w:rPr>
              <w:t>内容</w:t>
            </w:r>
          </w:p>
        </w:tc>
        <w:tc>
          <w:tcPr>
            <w:tcW w:w="735"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
                <w:color w:val="000000" w:themeColor="text1"/>
                <w:sz w:val="24"/>
                <w:szCs w:val="24"/>
                <w:u w:val="none"/>
                <w14:textFill>
                  <w14:solidFill>
                    <w14:schemeClr w14:val="tx1"/>
                  </w14:solidFill>
                </w14:textFill>
              </w:rPr>
            </w:pPr>
            <w:r>
              <w:rPr>
                <w:rFonts w:hint="eastAsia" w:ascii="仿宋_GB2312" w:hAnsi="仿宋_GB2312" w:eastAsia="仿宋_GB2312" w:cs="仿宋_GB2312"/>
                <w:b/>
                <w:color w:val="000000" w:themeColor="text1"/>
                <w:sz w:val="24"/>
                <w:szCs w:val="24"/>
                <w:u w:val="none"/>
                <w14:textFill>
                  <w14:solidFill>
                    <w14:schemeClr w14:val="tx1"/>
                  </w14:solidFill>
                </w14:textFill>
              </w:rPr>
              <w:t>序号</w:t>
            </w:r>
          </w:p>
        </w:tc>
        <w:tc>
          <w:tcPr>
            <w:tcW w:w="4668" w:type="dxa"/>
            <w:gridSpan w:val="2"/>
            <w:noWrap w:val="0"/>
            <w:vAlign w:val="center"/>
          </w:tcPr>
          <w:p>
            <w:pPr>
              <w:keepNext w:val="0"/>
              <w:keepLines w:val="0"/>
              <w:pageBreakBefore w:val="0"/>
              <w:kinsoku/>
              <w:wordWrap/>
              <w:overflowPunct/>
              <w:topLinePunct w:val="0"/>
              <w:autoSpaceDE/>
              <w:autoSpaceDN/>
              <w:bidi w:val="0"/>
              <w:adjustRightInd/>
              <w:snapToGrid/>
              <w:spacing w:line="280" w:lineRule="exact"/>
              <w:ind w:firstLine="482" w:firstLineChars="200"/>
              <w:jc w:val="center"/>
              <w:rPr>
                <w:rFonts w:hint="eastAsia" w:ascii="仿宋_GB2312" w:hAnsi="仿宋_GB2312" w:eastAsia="仿宋_GB2312" w:cs="仿宋_GB2312"/>
                <w:b/>
                <w:color w:val="000000" w:themeColor="text1"/>
                <w:sz w:val="24"/>
                <w:szCs w:val="24"/>
                <w:u w:val="none"/>
                <w14:textFill>
                  <w14:solidFill>
                    <w14:schemeClr w14:val="tx1"/>
                  </w14:solidFill>
                </w14:textFill>
              </w:rPr>
            </w:pPr>
            <w:r>
              <w:rPr>
                <w:rFonts w:hint="eastAsia" w:ascii="仿宋_GB2312" w:hAnsi="仿宋_GB2312" w:eastAsia="仿宋_GB2312" w:cs="仿宋_GB2312"/>
                <w:b/>
                <w:color w:val="000000" w:themeColor="text1"/>
                <w:sz w:val="24"/>
                <w:szCs w:val="24"/>
                <w:u w:val="none"/>
                <w14:textFill>
                  <w14:solidFill>
                    <w14:schemeClr w14:val="tx1"/>
                  </w14:solidFill>
                </w14:textFill>
              </w:rPr>
              <w:t>积分项目</w:t>
            </w:r>
          </w:p>
        </w:tc>
        <w:tc>
          <w:tcPr>
            <w:tcW w:w="1617"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
                <w:color w:val="000000" w:themeColor="text1"/>
                <w:sz w:val="24"/>
                <w:szCs w:val="24"/>
                <w:u w:val="none"/>
                <w:lang w:eastAsia="zh-CN"/>
                <w14:textFill>
                  <w14:solidFill>
                    <w14:schemeClr w14:val="tx1"/>
                  </w14:solidFill>
                </w14:textFill>
              </w:rPr>
              <w:t>分值</w:t>
            </w:r>
          </w:p>
        </w:tc>
        <w:tc>
          <w:tcPr>
            <w:tcW w:w="1358"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
                <w:color w:val="000000" w:themeColor="text1"/>
                <w:sz w:val="24"/>
                <w:szCs w:val="24"/>
                <w:u w:val="none"/>
                <w14:textFill>
                  <w14:solidFill>
                    <w14:schemeClr w14:val="tx1"/>
                  </w14:solidFill>
                </w14:textFill>
              </w:rPr>
            </w:pPr>
            <w:r>
              <w:rPr>
                <w:rFonts w:hint="eastAsia" w:ascii="仿宋_GB2312" w:hAnsi="仿宋_GB2312" w:eastAsia="仿宋_GB2312" w:cs="仿宋_GB2312"/>
                <w:b/>
                <w:color w:val="000000" w:themeColor="text1"/>
                <w:sz w:val="24"/>
                <w:szCs w:val="24"/>
                <w:u w:val="none"/>
                <w14:textFill>
                  <w14:solidFill>
                    <w14:schemeClr w14:val="tx1"/>
                  </w14:solidFill>
                </w14:textFill>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5" w:hRule="atLeast"/>
          <w:jc w:val="center"/>
        </w:trPr>
        <w:tc>
          <w:tcPr>
            <w:tcW w:w="776" w:type="dxa"/>
            <w:vMerge w:val="restart"/>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基</w:t>
            </w:r>
          </w:p>
          <w:p>
            <w:pPr>
              <w:pStyle w:val="2"/>
              <w:keepNext w:val="0"/>
              <w:keepLines w:val="0"/>
              <w:pageBreakBefore w:val="0"/>
              <w:kinsoku/>
              <w:wordWrap/>
              <w:overflowPunct/>
              <w:topLinePunct w:val="0"/>
              <w:autoSpaceDE/>
              <w:autoSpaceDN/>
              <w:bidi w:val="0"/>
              <w:adjustRightInd/>
              <w:snapToGrid/>
              <w:spacing w:line="280" w:lineRule="exact"/>
              <w:rPr>
                <w:rFonts w:hint="eastAsia" w:ascii="仿宋_GB2312" w:hAnsi="仿宋_GB2312" w:eastAsia="仿宋_GB2312" w:cs="仿宋_GB2312"/>
                <w:color w:val="000000" w:themeColor="text1"/>
                <w:sz w:val="24"/>
                <w:szCs w:val="24"/>
                <w:u w:val="none"/>
                <w:lang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础</w:t>
            </w:r>
          </w:p>
          <w:p>
            <w:pPr>
              <w:pStyle w:val="2"/>
              <w:keepNext w:val="0"/>
              <w:keepLines w:val="0"/>
              <w:pageBreakBefore w:val="0"/>
              <w:kinsoku/>
              <w:wordWrap/>
              <w:overflowPunct/>
              <w:topLinePunct w:val="0"/>
              <w:autoSpaceDE/>
              <w:autoSpaceDN/>
              <w:bidi w:val="0"/>
              <w:adjustRightInd/>
              <w:snapToGrid/>
              <w:spacing w:line="280" w:lineRule="exact"/>
              <w:rPr>
                <w:rFonts w:hint="eastAsia" w:ascii="仿宋_GB2312" w:hAnsi="仿宋_GB2312" w:eastAsia="仿宋_GB2312" w:cs="仿宋_GB2312"/>
                <w:color w:val="000000" w:themeColor="text1"/>
                <w:sz w:val="24"/>
                <w:szCs w:val="24"/>
                <w:u w:val="none"/>
                <w:lang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指</w:t>
            </w:r>
          </w:p>
          <w:p>
            <w:pPr>
              <w:pStyle w:val="2"/>
              <w:keepNext w:val="0"/>
              <w:keepLines w:val="0"/>
              <w:pageBreakBefore w:val="0"/>
              <w:kinsoku/>
              <w:wordWrap/>
              <w:overflowPunct/>
              <w:topLinePunct w:val="0"/>
              <w:autoSpaceDE/>
              <w:autoSpaceDN/>
              <w:bidi w:val="0"/>
              <w:adjustRightInd/>
              <w:snapToGrid/>
              <w:spacing w:line="280" w:lineRule="exact"/>
              <w:rPr>
                <w:rFonts w:hint="eastAsia" w:ascii="仿宋_GB2312" w:hAnsi="仿宋_GB2312" w:eastAsia="仿宋_GB2312" w:cs="仿宋_GB2312"/>
                <w:color w:val="000000" w:themeColor="text1"/>
                <w:sz w:val="24"/>
                <w:szCs w:val="24"/>
                <w:u w:val="none"/>
                <w:lang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标</w:t>
            </w:r>
          </w:p>
        </w:tc>
        <w:tc>
          <w:tcPr>
            <w:tcW w:w="735" w:type="dxa"/>
            <w:vMerge w:val="restart"/>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1</w:t>
            </w:r>
          </w:p>
        </w:tc>
        <w:tc>
          <w:tcPr>
            <w:tcW w:w="913"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top"/>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合</w:t>
            </w:r>
          </w:p>
          <w:p>
            <w:pPr>
              <w:keepNext w:val="0"/>
              <w:keepLines w:val="0"/>
              <w:pageBreakBefore w:val="0"/>
              <w:widowControl/>
              <w:kinsoku/>
              <w:wordWrap/>
              <w:overflowPunct/>
              <w:topLinePunct w:val="0"/>
              <w:autoSpaceDE/>
              <w:autoSpaceDN/>
              <w:bidi w:val="0"/>
              <w:adjustRightInd/>
              <w:snapToGrid/>
              <w:spacing w:line="280" w:lineRule="exact"/>
              <w:jc w:val="center"/>
              <w:textAlignment w:val="top"/>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法</w:t>
            </w:r>
          </w:p>
          <w:p>
            <w:pPr>
              <w:keepNext w:val="0"/>
              <w:keepLines w:val="0"/>
              <w:pageBreakBefore w:val="0"/>
              <w:widowControl/>
              <w:kinsoku/>
              <w:wordWrap/>
              <w:overflowPunct/>
              <w:topLinePunct w:val="0"/>
              <w:autoSpaceDE/>
              <w:autoSpaceDN/>
              <w:bidi w:val="0"/>
              <w:adjustRightInd/>
              <w:snapToGrid/>
              <w:spacing w:line="280" w:lineRule="exact"/>
              <w:jc w:val="center"/>
              <w:textAlignment w:val="top"/>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房</w:t>
            </w:r>
          </w:p>
          <w:p>
            <w:pPr>
              <w:keepNext w:val="0"/>
              <w:keepLines w:val="0"/>
              <w:pageBreakBefore w:val="0"/>
              <w:widowControl/>
              <w:kinsoku/>
              <w:wordWrap/>
              <w:overflowPunct/>
              <w:topLinePunct w:val="0"/>
              <w:autoSpaceDE/>
              <w:autoSpaceDN/>
              <w:bidi w:val="0"/>
              <w:adjustRightInd/>
              <w:snapToGrid/>
              <w:spacing w:line="280" w:lineRule="exact"/>
              <w:jc w:val="center"/>
              <w:textAlignment w:val="top"/>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产</w:t>
            </w:r>
          </w:p>
        </w:tc>
        <w:tc>
          <w:tcPr>
            <w:tcW w:w="3755" w:type="dxa"/>
            <w:noWrap w:val="0"/>
            <w:vAlign w:val="top"/>
          </w:tcPr>
          <w:p>
            <w:pPr>
              <w:keepNext w:val="0"/>
              <w:keepLines w:val="0"/>
              <w:pageBreakBefore w:val="0"/>
              <w:widowControl/>
              <w:kinsoku/>
              <w:wordWrap/>
              <w:overflowPunct/>
              <w:topLinePunct w:val="0"/>
              <w:autoSpaceDE/>
              <w:autoSpaceDN/>
              <w:bidi w:val="0"/>
              <w:adjustRightInd/>
              <w:snapToGrid/>
              <w:spacing w:line="280" w:lineRule="exact"/>
              <w:ind w:firstLine="480" w:firstLineChars="200"/>
              <w:textAlignment w:val="top"/>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u w:val="none"/>
                <w14:textFill>
                  <w14:solidFill>
                    <w14:schemeClr w14:val="tx1"/>
                  </w14:solidFill>
                </w14:textFill>
              </w:rPr>
              <w:t>本人或其法定监护人在清城区学区内拥有合法房产</w:t>
            </w:r>
            <w:r>
              <w:rPr>
                <w:rFonts w:hint="eastAsia" w:ascii="仿宋_GB2312" w:hAnsi="仿宋_GB2312" w:eastAsia="仿宋_GB2312" w:cs="仿宋_GB2312"/>
                <w:color w:val="000000" w:themeColor="text1"/>
                <w:sz w:val="24"/>
                <w:szCs w:val="24"/>
                <w:u w:val="none"/>
                <w:lang w:eastAsia="zh-CN"/>
                <w14:textFill>
                  <w14:solidFill>
                    <w14:schemeClr w14:val="tx1"/>
                  </w14:solidFill>
                </w14:textFill>
              </w:rPr>
              <w:t>。</w:t>
            </w:r>
            <w:r>
              <w:rPr>
                <w:rFonts w:hint="eastAsia" w:ascii="仿宋_GB2312" w:hAnsi="仿宋_GB2312" w:eastAsia="仿宋_GB2312" w:cs="仿宋_GB2312"/>
                <w:color w:val="000000" w:themeColor="text1"/>
                <w:sz w:val="24"/>
                <w:szCs w:val="24"/>
                <w:u w:val="none"/>
                <w14:textFill>
                  <w14:solidFill>
                    <w14:schemeClr w14:val="tx1"/>
                  </w14:solidFill>
                </w14:textFill>
              </w:rPr>
              <w:t>按房产建筑面积每平方米</w:t>
            </w:r>
            <w: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t>按</w:t>
            </w:r>
            <w:r>
              <w:rPr>
                <w:rFonts w:hint="eastAsia" w:ascii="仿宋_GB2312" w:hAnsi="仿宋_GB2312" w:eastAsia="仿宋_GB2312" w:cs="仿宋_GB2312"/>
                <w:color w:val="000000" w:themeColor="text1"/>
                <w:sz w:val="24"/>
                <w:szCs w:val="24"/>
                <w:u w:val="none"/>
                <w14:textFill>
                  <w14:solidFill>
                    <w14:schemeClr w14:val="tx1"/>
                  </w14:solidFill>
                </w14:textFill>
              </w:rPr>
              <w:t>1分计算（用土地使用证建设的自建房，按照土地使用证上的建筑面积计算）；</w:t>
            </w:r>
          </w:p>
          <w:p>
            <w:pPr>
              <w:pStyle w:val="2"/>
              <w:keepNext w:val="0"/>
              <w:keepLines w:val="0"/>
              <w:pageBreakBefore w:val="0"/>
              <w:kinsoku/>
              <w:wordWrap/>
              <w:overflowPunct/>
              <w:topLinePunct w:val="0"/>
              <w:autoSpaceDE/>
              <w:autoSpaceDN/>
              <w:bidi w:val="0"/>
              <w:adjustRightInd/>
              <w:snapToGrid/>
              <w:spacing w:line="280" w:lineRule="exact"/>
              <w:ind w:left="0" w:leftChars="0" w:firstLine="480" w:firstLineChars="200"/>
              <w:rPr>
                <w:rFonts w:hint="eastAsia" w:ascii="仿宋_GB2312" w:hAnsi="仿宋_GB2312" w:eastAsia="仿宋_GB2312" w:cs="仿宋_GB2312"/>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color w:val="000000" w:themeColor="text1"/>
                <w:sz w:val="24"/>
                <w:szCs w:val="24"/>
                <w:u w:val="none"/>
                <w:lang w:eastAsia="zh-CN"/>
                <w14:textFill>
                  <w14:solidFill>
                    <w14:schemeClr w14:val="tx1"/>
                  </w14:solidFill>
                </w14:textFill>
              </w:rPr>
              <w:t>若未进行房产登记的，以正规购房合同</w:t>
            </w:r>
            <w: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t>上的</w:t>
            </w:r>
            <w:r>
              <w:rPr>
                <w:rFonts w:hint="eastAsia" w:ascii="仿宋_GB2312" w:hAnsi="仿宋_GB2312" w:eastAsia="仿宋_GB2312" w:cs="仿宋_GB2312"/>
                <w:color w:val="000000" w:themeColor="text1"/>
                <w:sz w:val="24"/>
                <w:szCs w:val="24"/>
                <w:u w:val="none"/>
                <w:lang w:eastAsia="zh-CN"/>
                <w14:textFill>
                  <w14:solidFill>
                    <w14:schemeClr w14:val="tx1"/>
                  </w14:solidFill>
                </w14:textFill>
              </w:rPr>
              <w:t>建筑面积计分。</w:t>
            </w:r>
          </w:p>
          <w:p>
            <w:pPr>
              <w:keepNext w:val="0"/>
              <w:keepLines w:val="0"/>
              <w:pageBreakBefore w:val="0"/>
              <w:kinsoku/>
              <w:wordWrap/>
              <w:overflowPunct/>
              <w:topLinePunct w:val="0"/>
              <w:autoSpaceDE/>
              <w:autoSpaceDN/>
              <w:bidi w:val="0"/>
              <w:adjustRightInd/>
              <w:snapToGrid/>
              <w:spacing w:line="280" w:lineRule="exact"/>
              <w:ind w:firstLine="480" w:firstLineChars="200"/>
              <w:rPr>
                <w:rFonts w:hint="eastAsia" w:ascii="仿宋_GB2312" w:hAnsi="仿宋_GB2312" w:eastAsia="仿宋_GB2312" w:cs="仿宋_GB2312"/>
                <w:color w:val="000000" w:themeColor="text1"/>
                <w:sz w:val="24"/>
                <w:szCs w:val="24"/>
                <w:u w:val="none"/>
                <w14:textFill>
                  <w14:solidFill>
                    <w14:schemeClr w14:val="tx1"/>
                  </w14:solidFill>
                </w14:textFill>
              </w:rPr>
            </w:pPr>
            <w:r>
              <w:rPr>
                <w:rFonts w:hint="eastAsia" w:ascii="仿宋_GB2312" w:hAnsi="仿宋_GB2312" w:eastAsia="仿宋_GB2312" w:cs="仿宋_GB2312"/>
                <w:color w:val="000000" w:themeColor="text1"/>
                <w:sz w:val="24"/>
                <w:szCs w:val="24"/>
                <w:u w:val="none"/>
                <w14:textFill>
                  <w14:solidFill>
                    <w14:schemeClr w14:val="tx1"/>
                  </w14:solidFill>
                </w14:textFill>
              </w:rPr>
              <w:t>若房产为本人或其法定监护人与他人共有（权属占比51%或以上，即不完全房产），按照房产证或不动产权证书上的建筑面积和权属比例进行计分。</w:t>
            </w:r>
          </w:p>
        </w:tc>
        <w:tc>
          <w:tcPr>
            <w:tcW w:w="1617"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top"/>
              <w:rPr>
                <w:rFonts w:hint="eastAsia" w:ascii="仿宋_GB2312" w:hAnsi="仿宋_GB2312" w:eastAsia="仿宋_GB2312" w:cs="仿宋_GB2312"/>
                <w:bCs/>
                <w:color w:val="000000" w:themeColor="text1"/>
                <w:sz w:val="24"/>
                <w:szCs w:val="24"/>
                <w:u w:val="none"/>
                <w:vertAlign w:val="baseline"/>
                <w:lang w:val="en-US"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1分/m</w:t>
            </w:r>
            <w:r>
              <w:rPr>
                <w:rFonts w:hint="eastAsia" w:ascii="仿宋_GB2312" w:hAnsi="仿宋_GB2312" w:eastAsia="仿宋_GB2312" w:cs="仿宋_GB2312"/>
                <w:bCs/>
                <w:color w:val="000000" w:themeColor="text1"/>
                <w:sz w:val="24"/>
                <w:szCs w:val="24"/>
                <w:u w:val="none"/>
                <w:vertAlign w:val="superscript"/>
                <w:lang w:val="en-US" w:eastAsia="zh-CN"/>
                <w14:textFill>
                  <w14:solidFill>
                    <w14:schemeClr w14:val="tx1"/>
                  </w14:solidFill>
                </w14:textFill>
              </w:rPr>
              <w:t>2</w:t>
            </w:r>
          </w:p>
        </w:tc>
        <w:tc>
          <w:tcPr>
            <w:tcW w:w="1358" w:type="dxa"/>
            <w:noWrap w:val="0"/>
            <w:vAlign w:val="top"/>
          </w:tcPr>
          <w:p>
            <w:pPr>
              <w:keepNext w:val="0"/>
              <w:keepLines w:val="0"/>
              <w:pageBreakBefore w:val="0"/>
              <w:widowControl/>
              <w:kinsoku/>
              <w:wordWrap/>
              <w:overflowPunct/>
              <w:topLinePunct w:val="0"/>
              <w:autoSpaceDE/>
              <w:autoSpaceDN/>
              <w:bidi w:val="0"/>
              <w:adjustRightInd/>
              <w:snapToGrid/>
              <w:spacing w:line="280" w:lineRule="exact"/>
              <w:textAlignment w:val="top"/>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若本人或其法定监护人在某所学校学区内拥有多</w:t>
            </w: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套</w:t>
            </w:r>
            <w:r>
              <w:rPr>
                <w:rFonts w:hint="eastAsia" w:ascii="仿宋_GB2312" w:hAnsi="仿宋_GB2312" w:eastAsia="仿宋_GB2312" w:cs="仿宋_GB2312"/>
                <w:bCs/>
                <w:color w:val="000000" w:themeColor="text1"/>
                <w:sz w:val="24"/>
                <w:szCs w:val="24"/>
                <w:u w:val="none"/>
                <w14:textFill>
                  <w14:solidFill>
                    <w14:schemeClr w14:val="tx1"/>
                  </w14:solidFill>
                </w14:textFill>
              </w:rPr>
              <w:t>房产的，</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只按其中一套</w:t>
            </w: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用于申请的建筑面积</w:t>
            </w:r>
            <w:r>
              <w:rPr>
                <w:rFonts w:hint="eastAsia" w:ascii="仿宋_GB2312" w:hAnsi="仿宋_GB2312" w:eastAsia="仿宋_GB2312" w:cs="仿宋_GB2312"/>
                <w:bCs/>
                <w:color w:val="000000" w:themeColor="text1"/>
                <w:sz w:val="24"/>
                <w:szCs w:val="24"/>
                <w:u w:val="none"/>
                <w14:textFill>
                  <w14:solidFill>
                    <w14:schemeClr w14:val="tx1"/>
                  </w14:solidFill>
                </w14:textFill>
              </w:rPr>
              <w:t>计分</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w:t>
            </w:r>
            <w:r>
              <w:rPr>
                <w:rFonts w:hint="eastAsia" w:ascii="仿宋_GB2312" w:hAnsi="仿宋_GB2312" w:eastAsia="仿宋_GB2312" w:cs="仿宋_GB2312"/>
                <w:bCs/>
                <w:color w:val="000000" w:themeColor="text1"/>
                <w:sz w:val="24"/>
                <w:szCs w:val="24"/>
                <w:u w:val="none"/>
                <w14:textFill>
                  <w14:solidFill>
                    <w14:schemeClr w14:val="tx1"/>
                  </w14:solidFill>
                </w14:textFill>
              </w:rPr>
              <w:t>最高</w:t>
            </w: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计</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110</w:t>
            </w:r>
            <w:r>
              <w:rPr>
                <w:rFonts w:hint="eastAsia" w:ascii="仿宋_GB2312" w:hAnsi="仿宋_GB2312" w:eastAsia="仿宋_GB2312" w:cs="仿宋_GB2312"/>
                <w:bCs/>
                <w:color w:val="000000" w:themeColor="text1"/>
                <w:sz w:val="24"/>
                <w:szCs w:val="24"/>
                <w:u w:val="none"/>
                <w14:textFill>
                  <w14:solidFill>
                    <w14:schemeClr w14:val="tx1"/>
                  </w14:solidFill>
                </w14:textFill>
              </w:rPr>
              <w:t>分</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jc w:val="center"/>
        </w:trPr>
        <w:tc>
          <w:tcPr>
            <w:tcW w:w="776"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top"/>
              <w:rPr>
                <w:rFonts w:hint="eastAsia" w:ascii="仿宋_GB2312" w:hAnsi="仿宋_GB2312" w:eastAsia="仿宋_GB2312" w:cs="仿宋_GB2312"/>
                <w:color w:val="000000" w:themeColor="text1"/>
                <w:sz w:val="24"/>
                <w:szCs w:val="24"/>
                <w:u w:val="none"/>
                <w14:textFill>
                  <w14:solidFill>
                    <w14:schemeClr w14:val="tx1"/>
                  </w14:solidFill>
                </w14:textFill>
              </w:rPr>
            </w:pPr>
          </w:p>
        </w:tc>
        <w:tc>
          <w:tcPr>
            <w:tcW w:w="735"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top"/>
              <w:rPr>
                <w:rFonts w:hint="eastAsia" w:ascii="仿宋_GB2312" w:hAnsi="仿宋_GB2312" w:eastAsia="仿宋_GB2312" w:cs="仿宋_GB2312"/>
                <w:color w:val="000000" w:themeColor="text1"/>
                <w:sz w:val="24"/>
                <w:szCs w:val="24"/>
                <w:u w:val="none"/>
                <w14:textFill>
                  <w14:solidFill>
                    <w14:schemeClr w14:val="tx1"/>
                  </w14:solidFill>
                </w14:textFill>
              </w:rPr>
            </w:pPr>
          </w:p>
        </w:tc>
        <w:tc>
          <w:tcPr>
            <w:tcW w:w="913"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80" w:lineRule="exact"/>
              <w:textAlignment w:val="top"/>
              <w:rPr>
                <w:rFonts w:hint="eastAsia" w:ascii="仿宋_GB2312" w:hAnsi="仿宋_GB2312" w:eastAsia="仿宋_GB2312" w:cs="仿宋_GB2312"/>
                <w:color w:val="000000" w:themeColor="text1"/>
                <w:sz w:val="24"/>
                <w:szCs w:val="24"/>
                <w:u w:val="none"/>
                <w14:textFill>
                  <w14:solidFill>
                    <w14:schemeClr w14:val="tx1"/>
                  </w14:solidFill>
                </w14:textFill>
              </w:rPr>
            </w:pPr>
          </w:p>
        </w:tc>
        <w:tc>
          <w:tcPr>
            <w:tcW w:w="375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ind w:firstLine="480" w:firstLineChars="200"/>
              <w:jc w:val="left"/>
              <w:textAlignment w:val="top"/>
              <w:rPr>
                <w:rFonts w:hint="eastAsia" w:ascii="仿宋_GB2312" w:hAnsi="仿宋_GB2312" w:eastAsia="仿宋_GB2312" w:cs="仿宋_GB2312"/>
                <w:color w:val="000000" w:themeColor="text1"/>
                <w:sz w:val="24"/>
                <w:szCs w:val="24"/>
                <w:u w:val="none"/>
                <w14:textFill>
                  <w14:solidFill>
                    <w14:schemeClr w14:val="tx1"/>
                  </w14:solidFill>
                </w14:textFill>
              </w:rPr>
            </w:pPr>
            <w:r>
              <w:rPr>
                <w:rFonts w:hint="eastAsia" w:ascii="仿宋_GB2312" w:hAnsi="仿宋_GB2312" w:eastAsia="仿宋_GB2312" w:cs="仿宋_GB2312"/>
                <w:color w:val="000000" w:themeColor="text1"/>
                <w:sz w:val="24"/>
                <w:szCs w:val="24"/>
                <w:u w:val="none"/>
                <w14:textFill>
                  <w14:solidFill>
                    <w14:schemeClr w14:val="tx1"/>
                  </w14:solidFill>
                </w14:textFill>
              </w:rPr>
              <w:t>本人或其法定监护人在清城区学区内拥有合法房产</w:t>
            </w:r>
            <w:r>
              <w:rPr>
                <w:rFonts w:hint="eastAsia" w:ascii="仿宋_GB2312" w:hAnsi="仿宋_GB2312" w:eastAsia="仿宋_GB2312" w:cs="仿宋_GB2312"/>
                <w:color w:val="000000" w:themeColor="text1"/>
                <w:sz w:val="24"/>
                <w:szCs w:val="24"/>
                <w:u w:val="none"/>
                <w:lang w:eastAsia="zh-CN"/>
                <w14:textFill>
                  <w14:solidFill>
                    <w14:schemeClr w14:val="tx1"/>
                  </w14:solidFill>
                </w14:textFill>
              </w:rPr>
              <w:t>。按</w:t>
            </w:r>
            <w:r>
              <w:rPr>
                <w:rFonts w:hint="eastAsia" w:ascii="仿宋_GB2312" w:hAnsi="仿宋_GB2312" w:eastAsia="仿宋_GB2312" w:cs="仿宋_GB2312"/>
                <w:color w:val="000000" w:themeColor="text1"/>
                <w:sz w:val="24"/>
                <w:szCs w:val="24"/>
                <w:u w:val="none"/>
                <w14:textFill>
                  <w14:solidFill>
                    <w14:schemeClr w14:val="tx1"/>
                  </w14:solidFill>
                </w14:textFill>
              </w:rPr>
              <w:t>房产的登记时间（房产证或不动产权证）算起，每1个月计1分。</w:t>
            </w:r>
            <w: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t>若未办理</w:t>
            </w:r>
            <w:r>
              <w:rPr>
                <w:rFonts w:hint="eastAsia" w:ascii="仿宋_GB2312" w:hAnsi="仿宋_GB2312" w:eastAsia="仿宋_GB2312" w:cs="仿宋_GB2312"/>
                <w:color w:val="000000" w:themeColor="text1"/>
                <w:sz w:val="24"/>
                <w:szCs w:val="24"/>
                <w:u w:val="none"/>
                <w14:textFill>
                  <w14:solidFill>
                    <w14:schemeClr w14:val="tx1"/>
                  </w14:solidFill>
                </w14:textFill>
              </w:rPr>
              <w:t>房产证或不动产权证</w:t>
            </w:r>
            <w: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t>书的，以该房产办理不动产权证书缴交契税（即办理完税证明）的时间算起。</w:t>
            </w:r>
          </w:p>
        </w:tc>
        <w:tc>
          <w:tcPr>
            <w:tcW w:w="1617"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top"/>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t>1分/月</w:t>
            </w:r>
          </w:p>
        </w:tc>
        <w:tc>
          <w:tcPr>
            <w:tcW w:w="1358" w:type="dxa"/>
            <w:noWrap w:val="0"/>
            <w:vAlign w:val="top"/>
          </w:tcPr>
          <w:p>
            <w:pPr>
              <w:keepNext w:val="0"/>
              <w:keepLines w:val="0"/>
              <w:pageBreakBefore w:val="0"/>
              <w:widowControl/>
              <w:kinsoku/>
              <w:wordWrap/>
              <w:overflowPunct/>
              <w:topLinePunct w:val="0"/>
              <w:autoSpaceDE/>
              <w:autoSpaceDN/>
              <w:bidi w:val="0"/>
              <w:adjustRightInd/>
              <w:snapToGrid/>
              <w:spacing w:line="280" w:lineRule="exact"/>
              <w:textAlignment w:val="top"/>
              <w:rPr>
                <w:rFonts w:hint="eastAsia" w:ascii="仿宋_GB2312" w:hAnsi="仿宋_GB2312" w:eastAsia="仿宋_GB2312" w:cs="仿宋_GB2312"/>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按用于</w:t>
            </w: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申请的同一套房产</w:t>
            </w:r>
            <w:r>
              <w:rPr>
                <w:rFonts w:hint="eastAsia" w:ascii="仿宋_GB2312" w:hAnsi="仿宋_GB2312" w:eastAsia="仿宋_GB2312" w:cs="仿宋_GB2312"/>
                <w:bCs/>
                <w:color w:val="000000" w:themeColor="text1"/>
                <w:sz w:val="24"/>
                <w:szCs w:val="24"/>
                <w:u w:val="none"/>
                <w14:textFill>
                  <w14:solidFill>
                    <w14:schemeClr w14:val="tx1"/>
                  </w14:solidFill>
                </w14:textFill>
              </w:rPr>
              <w:t>计分</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776" w:type="dxa"/>
            <w:vMerge w:val="continue"/>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735"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2</w:t>
            </w:r>
          </w:p>
        </w:tc>
        <w:tc>
          <w:tcPr>
            <w:tcW w:w="913"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仿宋_GB2312" w:hAnsi="仿宋_GB2312" w:eastAsia="仿宋_GB2312" w:cs="仿宋_GB2312"/>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t>参保</w:t>
            </w: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t>情况</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（近</w:t>
            </w: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5</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年）</w:t>
            </w:r>
          </w:p>
        </w:tc>
        <w:tc>
          <w:tcPr>
            <w:tcW w:w="375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ind w:firstLine="480" w:firstLineChars="200"/>
              <w:jc w:val="left"/>
              <w:textAlignment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其</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法定监护人</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近五年</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在清城区就业（创业）并</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缴纳</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社会保险</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指养老</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和医疗</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保险</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，分项按时长计算，</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每项</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每1</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个</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月计</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0.5</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分</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其法定监护人的积分可合并计算</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p>
        </w:tc>
        <w:tc>
          <w:tcPr>
            <w:tcW w:w="1617"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0.5分/月</w:t>
            </w:r>
          </w:p>
        </w:tc>
        <w:tc>
          <w:tcPr>
            <w:tcW w:w="1358" w:type="dxa"/>
            <w:noWrap w:val="0"/>
            <w:vAlign w:val="center"/>
          </w:tcPr>
          <w:p>
            <w:pPr>
              <w:keepNext w:val="0"/>
              <w:keepLines w:val="0"/>
              <w:pageBreakBefore w:val="0"/>
              <w:kinsoku/>
              <w:wordWrap/>
              <w:overflowPunct/>
              <w:topLinePunct w:val="0"/>
              <w:autoSpaceDE/>
              <w:autoSpaceDN/>
              <w:bidi w:val="0"/>
              <w:adjustRightInd/>
              <w:snapToGrid/>
              <w:spacing w:line="280" w:lineRule="exact"/>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外地转入</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社保</w:t>
            </w:r>
            <w:r>
              <w:rPr>
                <w:rFonts w:hint="eastAsia" w:ascii="仿宋_GB2312" w:hAnsi="仿宋_GB2312" w:eastAsia="仿宋_GB2312" w:cs="仿宋_GB2312"/>
                <w:bCs/>
                <w:color w:val="000000" w:themeColor="text1"/>
                <w:sz w:val="24"/>
                <w:szCs w:val="24"/>
                <w:u w:val="none"/>
                <w14:textFill>
                  <w14:solidFill>
                    <w14:schemeClr w14:val="tx1"/>
                  </w14:solidFill>
                </w14:textFill>
              </w:rPr>
              <w:t>、补缴的不计算</w:t>
            </w: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时长</w:t>
            </w:r>
            <w:r>
              <w:rPr>
                <w:rFonts w:hint="eastAsia" w:ascii="仿宋_GB2312" w:hAnsi="仿宋_GB2312" w:eastAsia="仿宋_GB2312" w:cs="仿宋_GB2312"/>
                <w:bCs/>
                <w:color w:val="000000" w:themeColor="text1"/>
                <w:sz w:val="24"/>
                <w:szCs w:val="24"/>
                <w:u w:val="none"/>
                <w14:textFill>
                  <w14:solidFill>
                    <w14:schemeClr w14:val="tx1"/>
                  </w14:solidFill>
                </w14:textFill>
              </w:rPr>
              <w:t>和积分</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76" w:type="dxa"/>
            <w:vMerge w:val="restart"/>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 xml:space="preserve">加  </w:t>
            </w: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分</w:t>
            </w:r>
          </w:p>
          <w:p>
            <w:pPr>
              <w:keepNext w:val="0"/>
              <w:keepLines w:val="0"/>
              <w:pageBreakBefore w:val="0"/>
              <w:kinsoku/>
              <w:wordWrap/>
              <w:overflowPunct/>
              <w:topLinePunct w:val="0"/>
              <w:autoSpaceDE/>
              <w:autoSpaceDN/>
              <w:bidi w:val="0"/>
              <w:adjustRightInd/>
              <w:snapToGrid/>
              <w:spacing w:line="280" w:lineRule="exact"/>
              <w:rPr>
                <w:rFonts w:hint="eastAsia" w:ascii="仿宋_GB2312" w:hAnsi="仿宋_GB2312" w:eastAsia="仿宋_GB2312" w:cs="仿宋_GB2312"/>
                <w:color w:val="000000" w:themeColor="text1"/>
                <w:sz w:val="24"/>
                <w:szCs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指</w:t>
            </w: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标</w:t>
            </w:r>
          </w:p>
        </w:tc>
        <w:tc>
          <w:tcPr>
            <w:tcW w:w="735" w:type="dxa"/>
            <w:vMerge w:val="restart"/>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3</w:t>
            </w:r>
          </w:p>
        </w:tc>
        <w:tc>
          <w:tcPr>
            <w:tcW w:w="913" w:type="dxa"/>
            <w:vMerge w:val="restart"/>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社</w:t>
            </w: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会</w:t>
            </w: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贡</w:t>
            </w: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献</w:t>
            </w: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p>
        </w:tc>
        <w:tc>
          <w:tcPr>
            <w:tcW w:w="375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ind w:firstLine="480" w:firstLineChars="200"/>
              <w:jc w:val="left"/>
              <w:textAlignment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本人或其法定监护人</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近五年参与</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清城区志愿服务</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活动，每</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满</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5小时计1分</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本人和其法定监护人的积分可合并计算</w:t>
            </w:r>
            <w:r>
              <w:rPr>
                <w:rFonts w:hint="eastAsia" w:ascii="仿宋_GB2312" w:hAnsi="仿宋_GB2312" w:eastAsia="仿宋_GB2312" w:cs="仿宋_GB2312"/>
                <w:color w:val="000000" w:themeColor="text1"/>
                <w:spacing w:val="15"/>
                <w:sz w:val="32"/>
                <w:szCs w:val="32"/>
                <w:u w:val="none"/>
                <w:shd w:val="clear" w:color="auto" w:fill="FFFFFF"/>
                <w:lang w:eastAsia="zh-CN"/>
                <w14:textFill>
                  <w14:solidFill>
                    <w14:schemeClr w14:val="tx1"/>
                  </w14:solidFill>
                </w14:textFill>
              </w:rPr>
              <w:t>。</w:t>
            </w:r>
          </w:p>
        </w:tc>
        <w:tc>
          <w:tcPr>
            <w:tcW w:w="1617"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1分/5小时</w:t>
            </w:r>
          </w:p>
        </w:tc>
        <w:tc>
          <w:tcPr>
            <w:tcW w:w="1358"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最高</w:t>
            </w: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计1</w:t>
            </w:r>
            <w:r>
              <w:rPr>
                <w:rFonts w:hint="eastAsia" w:ascii="仿宋_GB2312" w:hAnsi="仿宋_GB2312" w:eastAsia="仿宋_GB2312" w:cs="仿宋_GB2312"/>
                <w:bCs/>
                <w:color w:val="000000" w:themeColor="text1"/>
                <w:sz w:val="24"/>
                <w:szCs w:val="24"/>
                <w:u w:val="none"/>
                <w14:textFill>
                  <w14:solidFill>
                    <w14:schemeClr w14:val="tx1"/>
                  </w14:solidFill>
                </w14:textFill>
              </w:rPr>
              <w:t>0分</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76"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735"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913"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375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ind w:firstLine="480" w:firstLineChars="200"/>
              <w:jc w:val="left"/>
              <w:textAlignment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其法定监护人</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近五年参与</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无偿献血每满200毫升或献单采血小板1个治疗量</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者</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，每次计2分</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其法定监护人的积分可合并计算</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w:t>
            </w:r>
          </w:p>
        </w:tc>
        <w:tc>
          <w:tcPr>
            <w:tcW w:w="1617"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2分/次</w:t>
            </w:r>
          </w:p>
        </w:tc>
        <w:tc>
          <w:tcPr>
            <w:tcW w:w="1358"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最高</w:t>
            </w: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计1</w:t>
            </w:r>
            <w:r>
              <w:rPr>
                <w:rFonts w:hint="eastAsia" w:ascii="仿宋_GB2312" w:hAnsi="仿宋_GB2312" w:eastAsia="仿宋_GB2312" w:cs="仿宋_GB2312"/>
                <w:bCs/>
                <w:color w:val="000000" w:themeColor="text1"/>
                <w:sz w:val="24"/>
                <w:szCs w:val="24"/>
                <w:u w:val="none"/>
                <w14:textFill>
                  <w14:solidFill>
                    <w14:schemeClr w14:val="tx1"/>
                  </w14:solidFill>
                </w14:textFill>
              </w:rPr>
              <w:t>0分</w:t>
            </w:r>
            <w: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76"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735"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913"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375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ind w:firstLine="480" w:firstLineChars="200"/>
              <w:jc w:val="left"/>
              <w:textAlignment w:val="cente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其法定监护人</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为清城区</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的无偿献血</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者</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并成为中华骨髓库捐献志愿者</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w:t>
            </w:r>
          </w:p>
        </w:tc>
        <w:tc>
          <w:tcPr>
            <w:tcW w:w="1617"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5分</w:t>
            </w:r>
          </w:p>
        </w:tc>
        <w:tc>
          <w:tcPr>
            <w:tcW w:w="1358"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76"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735"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913"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375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ind w:firstLine="480" w:firstLineChars="200"/>
              <w:jc w:val="left"/>
              <w:textAlignment w:val="cente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其法定监护人</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在</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清城区</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成功实现骨髓（造血干细胞）捐献</w:t>
            </w:r>
            <w:r>
              <w:rPr>
                <w:rFonts w:hint="eastAsia" w:ascii="仿宋_GB2312" w:hAnsi="仿宋_GB2312" w:eastAsia="仿宋_GB2312" w:cs="仿宋_GB2312"/>
                <w:color w:val="000000" w:themeColor="text1"/>
                <w:kern w:val="0"/>
                <w:sz w:val="24"/>
                <w:szCs w:val="24"/>
                <w:u w:val="none"/>
                <w:lang w:eastAsia="zh-CN" w:bidi="ar"/>
                <w14:textFill>
                  <w14:solidFill>
                    <w14:schemeClr w14:val="tx1"/>
                  </w14:solidFill>
                </w14:textFill>
              </w:rPr>
              <w:t>。</w:t>
            </w:r>
          </w:p>
        </w:tc>
        <w:tc>
          <w:tcPr>
            <w:tcW w:w="1617"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30分</w:t>
            </w:r>
          </w:p>
        </w:tc>
        <w:tc>
          <w:tcPr>
            <w:tcW w:w="1358"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76" w:type="dxa"/>
            <w:vMerge w:val="continue"/>
            <w:noWrap w:val="0"/>
            <w:vAlign w:val="top"/>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735"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4</w:t>
            </w:r>
          </w:p>
        </w:tc>
        <w:tc>
          <w:tcPr>
            <w:tcW w:w="913"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u w:val="none"/>
                <w:lang w:val="en-US" w:eastAsia="zh-CN"/>
                <w14:textFill>
                  <w14:solidFill>
                    <w14:schemeClr w14:val="tx1"/>
                  </w14:solidFill>
                </w14:textFill>
              </w:rPr>
              <w:t>学籍</w:t>
            </w:r>
          </w:p>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情况</w:t>
            </w:r>
          </w:p>
        </w:tc>
        <w:tc>
          <w:tcPr>
            <w:tcW w:w="375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ind w:firstLine="480" w:firstLineChars="200"/>
              <w:jc w:val="left"/>
              <w:textAlignment w:val="cente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本人具有清城区公民办小学应届六年级学籍，学籍在清城区公民办小学期间，每学期计3分。</w:t>
            </w:r>
          </w:p>
        </w:tc>
        <w:tc>
          <w:tcPr>
            <w:tcW w:w="1617"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3分/学期</w:t>
            </w:r>
          </w:p>
        </w:tc>
        <w:tc>
          <w:tcPr>
            <w:tcW w:w="1358"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left"/>
              <w:textAlignment w:val="cente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只限报读七年级，最高计36分。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5" w:hRule="atLeast"/>
          <w:jc w:val="center"/>
        </w:trPr>
        <w:tc>
          <w:tcPr>
            <w:tcW w:w="776"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“一票否决”指标</w:t>
            </w:r>
          </w:p>
        </w:tc>
        <w:tc>
          <w:tcPr>
            <w:tcW w:w="735"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lang w:eastAsia="zh-CN"/>
                <w14:textFill>
                  <w14:solidFill>
                    <w14:schemeClr w14:val="tx1"/>
                  </w14:solidFill>
                </w14:textFill>
              </w:rPr>
            </w:pPr>
            <w:r>
              <w:rPr>
                <w:rFonts w:hint="eastAsia" w:ascii="仿宋_GB2312" w:hAnsi="仿宋_GB2312" w:eastAsia="仿宋_GB2312" w:cs="仿宋_GB2312"/>
                <w:bCs/>
                <w:color w:val="000000" w:themeColor="text1"/>
                <w:sz w:val="24"/>
                <w:szCs w:val="24"/>
                <w:u w:val="none"/>
                <w:lang w:val="en-US" w:eastAsia="zh-CN"/>
                <w14:textFill>
                  <w14:solidFill>
                    <w14:schemeClr w14:val="tx1"/>
                  </w14:solidFill>
                </w14:textFill>
              </w:rPr>
              <w:t>5</w:t>
            </w:r>
          </w:p>
        </w:tc>
        <w:tc>
          <w:tcPr>
            <w:tcW w:w="913" w:type="dxa"/>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bCs/>
                <w:color w:val="000000" w:themeColor="text1"/>
                <w:sz w:val="24"/>
                <w:szCs w:val="24"/>
                <w:u w:val="none"/>
                <w14:textFill>
                  <w14:solidFill>
                    <w14:schemeClr w14:val="tx1"/>
                  </w14:solidFill>
                </w14:textFill>
              </w:rPr>
              <w:t>申请材料造假</w:t>
            </w:r>
          </w:p>
        </w:tc>
        <w:tc>
          <w:tcPr>
            <w:tcW w:w="3755"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ind w:firstLine="480" w:firstLineChars="200"/>
              <w:jc w:val="left"/>
              <w:textAlignment w:val="center"/>
              <w:rPr>
                <w:rFonts w:hint="eastAsia" w:ascii="仿宋_GB2312" w:hAnsi="仿宋_GB2312" w:eastAsia="仿宋_GB2312" w:cs="仿宋_GB2312"/>
                <w:bCs/>
                <w:color w:val="000000" w:themeColor="text1"/>
                <w:sz w:val="24"/>
                <w:szCs w:val="24"/>
                <w:u w:val="none"/>
                <w14:textFill>
                  <w14:solidFill>
                    <w14:schemeClr w14:val="tx1"/>
                  </w14:solidFill>
                </w14:textFill>
              </w:rPr>
            </w:pP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清城</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区区外</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户籍适龄儿童（少年）的法定监护人（即申请人）伪造或提供虚假申请资料，</w:t>
            </w:r>
            <w:r>
              <w:rPr>
                <w:rFonts w:hint="eastAsia" w:ascii="仿宋_GB2312" w:hAnsi="仿宋_GB2312" w:eastAsia="仿宋_GB2312" w:cs="仿宋_GB2312"/>
                <w:color w:val="000000" w:themeColor="text1"/>
                <w:kern w:val="0"/>
                <w:sz w:val="24"/>
                <w:szCs w:val="24"/>
                <w:u w:val="none"/>
                <w:lang w:val="en-US" w:eastAsia="zh-CN" w:bidi="ar"/>
                <w14:textFill>
                  <w14:solidFill>
                    <w14:schemeClr w14:val="tx1"/>
                  </w14:solidFill>
                </w14:textFill>
              </w:rPr>
              <w:t>且与事实不符</w:t>
            </w:r>
            <w:r>
              <w:rPr>
                <w:rFonts w:hint="eastAsia" w:ascii="仿宋_GB2312" w:hAnsi="仿宋_GB2312" w:eastAsia="仿宋_GB2312" w:cs="仿宋_GB2312"/>
                <w:color w:val="000000" w:themeColor="text1"/>
                <w:kern w:val="0"/>
                <w:sz w:val="24"/>
                <w:szCs w:val="24"/>
                <w:u w:val="none"/>
                <w:lang w:bidi="ar"/>
                <w14:textFill>
                  <w14:solidFill>
                    <w14:schemeClr w14:val="tx1"/>
                  </w14:solidFill>
                </w14:textFill>
              </w:rPr>
              <w:t>或作虚假承诺的，取消当年积分申请资格，且两年内不得申请积分入学。</w:t>
            </w:r>
          </w:p>
        </w:tc>
        <w:tc>
          <w:tcPr>
            <w:tcW w:w="1617" w:type="dxa"/>
            <w:noWrap w:val="0"/>
            <w:vAlign w:val="center"/>
          </w:tcPr>
          <w:p>
            <w:pPr>
              <w:keepNext w:val="0"/>
              <w:keepLines w:val="0"/>
              <w:pageBreakBefore w:val="0"/>
              <w:kinsoku/>
              <w:wordWrap/>
              <w:overflowPunct/>
              <w:topLinePunct w:val="0"/>
              <w:autoSpaceDE/>
              <w:autoSpaceDN/>
              <w:bidi w:val="0"/>
              <w:adjustRightInd/>
              <w:snapToGrid/>
              <w:spacing w:line="280" w:lineRule="exact"/>
              <w:ind w:firstLine="480" w:firstLineChars="200"/>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c>
          <w:tcPr>
            <w:tcW w:w="1358" w:type="dxa"/>
            <w:noWrap w:val="0"/>
            <w:vAlign w:val="center"/>
          </w:tcPr>
          <w:p>
            <w:pPr>
              <w:keepNext w:val="0"/>
              <w:keepLines w:val="0"/>
              <w:pageBreakBefore w:val="0"/>
              <w:kinsoku/>
              <w:wordWrap/>
              <w:overflowPunct/>
              <w:topLinePunct w:val="0"/>
              <w:autoSpaceDE/>
              <w:autoSpaceDN/>
              <w:bidi w:val="0"/>
              <w:adjustRightInd/>
              <w:snapToGrid/>
              <w:spacing w:line="280" w:lineRule="exact"/>
              <w:ind w:firstLine="480" w:firstLineChars="200"/>
              <w:jc w:val="center"/>
              <w:rPr>
                <w:rFonts w:hint="eastAsia" w:ascii="仿宋_GB2312" w:hAnsi="仿宋_GB2312" w:eastAsia="仿宋_GB2312" w:cs="仿宋_GB2312"/>
                <w:bCs/>
                <w:color w:val="000000" w:themeColor="text1"/>
                <w:sz w:val="24"/>
                <w:szCs w:val="24"/>
                <w:u w:val="none"/>
                <w14:textFill>
                  <w14:solidFill>
                    <w14:schemeClr w14:val="tx1"/>
                  </w14:solidFill>
                </w14:textFill>
              </w:rPr>
            </w:pPr>
          </w:p>
        </w:tc>
      </w:tr>
    </w:tbl>
    <w:p>
      <w:pPr>
        <w:rPr>
          <w:rFonts w:hint="eastAsia"/>
          <w:color w:val="000000" w:themeColor="text1"/>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14:textFill>
            <w14:solidFill>
              <w14:schemeClr w14:val="tx1"/>
            </w14:solidFill>
          </w14:textFill>
        </w:rPr>
      </w:pPr>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b/>
          <w:bCs/>
          <w:color w:val="000000" w:themeColor="text1"/>
          <w:sz w:val="28"/>
          <w:szCs w:val="28"/>
          <w:u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28"/>
          <w:szCs w:val="28"/>
          <w:u w:val="none"/>
          <w14:textFill>
            <w14:solidFill>
              <w14:schemeClr w14:val="tx1"/>
            </w14:solidFill>
          </w14:textFill>
        </w:rPr>
        <w:t>附</w:t>
      </w:r>
      <w:r>
        <w:rPr>
          <w:rFonts w:hint="eastAsia" w:ascii="仿宋_GB2312" w:hAnsi="仿宋_GB2312" w:eastAsia="仿宋_GB2312" w:cs="仿宋_GB2312"/>
          <w:b/>
          <w:bCs/>
          <w:color w:val="000000" w:themeColor="text1"/>
          <w:sz w:val="28"/>
          <w:szCs w:val="28"/>
          <w:u w:val="none"/>
          <w:lang w:val="en-US" w:eastAsia="zh-CN"/>
          <w14:textFill>
            <w14:solidFill>
              <w14:schemeClr w14:val="tx1"/>
            </w14:solidFill>
          </w14:textFill>
        </w:rPr>
        <w:t>件3</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sz w:val="36"/>
          <w:szCs w:val="36"/>
          <w:lang w:val="en-US" w:eastAsia="zh-CN"/>
        </w:rPr>
      </w:pPr>
      <w:r>
        <w:rPr>
          <w:rFonts w:hint="eastAsia" w:ascii="黑体" w:hAnsi="黑体" w:eastAsia="黑体" w:cs="黑体"/>
          <w:b w:val="0"/>
          <w:bCs w:val="0"/>
          <w:color w:val="auto"/>
          <w:sz w:val="36"/>
          <w:szCs w:val="36"/>
          <w:lang w:val="en-US" w:eastAsia="zh-CN"/>
        </w:rPr>
        <w:t>2025年秋季清城区“大学区”划分一览表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0"/>
        <w:gridCol w:w="6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840" w:type="dxa"/>
            <w:noWrap w:val="0"/>
            <w:vAlign w:val="center"/>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bCs/>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vertAlign w:val="baseline"/>
                <w:lang w:val="en-US" w:eastAsia="zh-CN"/>
                <w14:textFill>
                  <w14:solidFill>
                    <w14:schemeClr w14:val="tx1"/>
                  </w14:solidFill>
                </w14:textFill>
              </w:rPr>
              <w:t>学区名称</w:t>
            </w:r>
          </w:p>
        </w:tc>
        <w:tc>
          <w:tcPr>
            <w:tcW w:w="6619" w:type="dxa"/>
            <w:noWrap w:val="0"/>
            <w:vAlign w:val="center"/>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bCs/>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vertAlign w:val="baseline"/>
                <w:lang w:val="en-US" w:eastAsia="zh-CN"/>
                <w14:textFill>
                  <w14:solidFill>
                    <w14:schemeClr w14:val="tx1"/>
                  </w14:solidFill>
                </w14:textFill>
              </w:rPr>
              <w:t>包括学校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1840" w:type="dxa"/>
            <w:noWrap w:val="0"/>
            <w:vAlign w:val="center"/>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center"/>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第一学区</w:t>
            </w:r>
          </w:p>
        </w:tc>
        <w:tc>
          <w:tcPr>
            <w:tcW w:w="6619" w:type="dxa"/>
            <w:noWrap w:val="0"/>
            <w:vAlign w:val="top"/>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left"/>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新北江小学、富强小学、小市小学、南埗小学、横荷街内的学校、龙塘镇内的学校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9" w:hRule="atLeast"/>
        </w:trPr>
        <w:tc>
          <w:tcPr>
            <w:tcW w:w="1840" w:type="dxa"/>
            <w:noWrap w:val="0"/>
            <w:vAlign w:val="center"/>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center"/>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第二学区</w:t>
            </w:r>
          </w:p>
        </w:tc>
        <w:tc>
          <w:tcPr>
            <w:tcW w:w="6619" w:type="dxa"/>
            <w:noWrap w:val="0"/>
            <w:vAlign w:val="top"/>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left"/>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凤翔小学、田家炳实验学校（小学部）、新城小学、凤鸣小学、新三角小学、燕湖小学、清城区第二小学、清城区实验小学、清城区青联小学、凤翔山湖学校（小学部）、凤翔山湖北区学校（小学部）、横荷街内的学校、龙塘镇内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1" w:hRule="atLeast"/>
        </w:trPr>
        <w:tc>
          <w:tcPr>
            <w:tcW w:w="1840" w:type="dxa"/>
            <w:noWrap w:val="0"/>
            <w:vAlign w:val="center"/>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center"/>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第三学区</w:t>
            </w:r>
          </w:p>
        </w:tc>
        <w:tc>
          <w:tcPr>
            <w:tcW w:w="6619" w:type="dxa"/>
            <w:noWrap w:val="0"/>
            <w:vAlign w:val="top"/>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left"/>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锦兴小学、清飞小学、桥北小学、清师附小、沙田小学、东城街中心小学、东城街莲塘小学、东城街长埔小学、东城街江埗小学、东城街石板小学、东城街大塱学校（小学部）、东城街新桥学校（小学部）、源潭镇内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1840" w:type="dxa"/>
            <w:noWrap w:val="0"/>
            <w:vAlign w:val="center"/>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center"/>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第四学区</w:t>
            </w:r>
          </w:p>
        </w:tc>
        <w:tc>
          <w:tcPr>
            <w:tcW w:w="6619" w:type="dxa"/>
            <w:noWrap w:val="0"/>
            <w:vAlign w:val="top"/>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left"/>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飞来湖小学</w:t>
            </w: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 xml:space="preserve">、后街小学、先锋小学、进修实小、大观小学、古城小学、石角镇内的学校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1" w:hRule="atLeast"/>
        </w:trPr>
        <w:tc>
          <w:tcPr>
            <w:tcW w:w="1840" w:type="dxa"/>
            <w:noWrap w:val="0"/>
            <w:vAlign w:val="center"/>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center"/>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第五学区</w:t>
            </w:r>
          </w:p>
        </w:tc>
        <w:tc>
          <w:tcPr>
            <w:tcW w:w="6619" w:type="dxa"/>
            <w:noWrap w:val="0"/>
            <w:vAlign w:val="top"/>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left"/>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清城中学、清城中学富强学校、田家炳实验学校（初中部）、清城区第二中学、清城区第三中学、凤翔山湖学校（初中部）、凤翔山湖北区学校（初中部）、横荷街赤岗学校（初中部）、龙塘镇内的学校、石角镇内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840" w:type="dxa"/>
            <w:noWrap w:val="0"/>
            <w:vAlign w:val="center"/>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center"/>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第六学区</w:t>
            </w:r>
          </w:p>
        </w:tc>
        <w:tc>
          <w:tcPr>
            <w:tcW w:w="6619" w:type="dxa"/>
            <w:noWrap w:val="0"/>
            <w:vAlign w:val="top"/>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440" w:lineRule="exact"/>
              <w:ind w:right="0" w:rightChars="0"/>
              <w:jc w:val="left"/>
              <w:textAlignment w:val="auto"/>
              <w:outlineLvl w:val="9"/>
              <w:rPr>
                <w:rFonts w:hint="default"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vertAlign w:val="baseline"/>
                <w:lang w:val="en-US" w:eastAsia="zh-CN"/>
                <w14:textFill>
                  <w14:solidFill>
                    <w14:schemeClr w14:val="tx1"/>
                  </w14:solidFill>
                </w14:textFill>
              </w:rPr>
              <w:t>松岗中学、飞来湖中学、东城街一中、平安学校、东城街新桥学校（初中部）、东城街大塱学校（初中部）、源潭镇内的学校、飞来峡镇内的学校</w:t>
            </w:r>
          </w:p>
        </w:tc>
      </w:tr>
    </w:tbl>
    <w:p>
      <w:pPr>
        <w:pStyle w:val="3"/>
        <w:keepNext w:val="0"/>
        <w:keepLines w:val="0"/>
        <w:pageBreakBefore w:val="0"/>
        <w:wordWrap/>
        <w:overflowPunct/>
        <w:topLinePunct w:val="0"/>
        <w:bidi w:val="0"/>
        <w:spacing w:before="185" w:line="348" w:lineRule="auto"/>
        <w:rPr>
          <w:rFonts w:hint="default" w:ascii="仿宋_GB2312" w:hAnsi="仿宋_GB2312" w:eastAsia="仿宋_GB2312" w:cs="仿宋_GB2312"/>
          <w:b/>
          <w:bCs/>
          <w:color w:val="000000" w:themeColor="text1"/>
          <w:sz w:val="28"/>
          <w:szCs w:val="28"/>
          <w:u w:val="none"/>
          <w:lang w:val="en-US" w:eastAsia="zh-CN"/>
          <w14:textFill>
            <w14:solidFill>
              <w14:schemeClr w14:val="tx1"/>
            </w14:solidFill>
          </w14:textFill>
        </w:rPr>
      </w:pPr>
    </w:p>
    <w:sectPr>
      <w:footerReference r:id="rId5" w:type="default"/>
      <w:pgSz w:w="11906" w:h="16839"/>
      <w:pgMar w:top="1440" w:right="1486" w:bottom="1440" w:left="1800" w:header="0" w:footer="850"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B4B35833-50B1-4D9F-AA14-7681CD8E81F3}"/>
  </w:font>
  <w:font w:name="黑体">
    <w:panose1 w:val="02010600030101010101"/>
    <w:charset w:val="86"/>
    <w:family w:val="auto"/>
    <w:pitch w:val="default"/>
    <w:sig w:usb0="800002BF" w:usb1="38CF7CFA" w:usb2="00000016" w:usb3="00000000" w:csb0="00040001" w:csb1="00000000"/>
    <w:embedRegular r:id="rId2" w:fontKey="{7B34605A-E526-4228-909D-7E0854676F0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_GB2312">
    <w:altName w:val="仿宋_GB2312"/>
    <w:panose1 w:val="02010609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3" w:fontKey="{09588730-CE26-4C45-B441-C79909CC2695}"/>
  </w:font>
  <w:font w:name="微软雅黑">
    <w:panose1 w:val="020B0503020204020204"/>
    <w:charset w:val="86"/>
    <w:family w:val="auto"/>
    <w:pitch w:val="default"/>
    <w:sig w:usb0="80000287" w:usb1="280F3C52" w:usb2="00000016" w:usb3="00000000" w:csb0="0004001F" w:csb1="00000000"/>
  </w:font>
  <w:font w:name="方正小标宋_GBK">
    <w:panose1 w:val="03000509000000000000"/>
    <w:charset w:val="86"/>
    <w:family w:val="script"/>
    <w:pitch w:val="default"/>
    <w:sig w:usb0="00000001" w:usb1="080E0000" w:usb2="00000000" w:usb3="00000000" w:csb0="00040000" w:csb1="00000000"/>
    <w:embedRegular r:id="rId4" w:fontKey="{BB738576-1DBB-46EA-BC32-CD59490401E4}"/>
  </w:font>
  <w:font w:name="楷体_GB2312">
    <w:panose1 w:val="02010609030101010101"/>
    <w:charset w:val="86"/>
    <w:family w:val="modern"/>
    <w:pitch w:val="default"/>
    <w:sig w:usb0="00000001" w:usb1="080E0000" w:usb2="00000000" w:usb3="00000000" w:csb0="00040000" w:csb1="00000000"/>
    <w:embedRegular r:id="rId5" w:fontKey="{CC62BEB2-BF0D-4FCB-807E-30196B8C331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81" w:lineRule="auto"/>
      <w:rPr>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3B153C"/>
    <w:multiLevelType w:val="singleLevel"/>
    <w:tmpl w:val="963B153C"/>
    <w:lvl w:ilvl="0" w:tentative="0">
      <w:start w:val="2"/>
      <w:numFmt w:val="decimal"/>
      <w:lvlText w:val="%1."/>
      <w:lvlJc w:val="left"/>
      <w:pPr>
        <w:tabs>
          <w:tab w:val="left" w:pos="312"/>
        </w:tabs>
      </w:pPr>
    </w:lvl>
  </w:abstractNum>
  <w:abstractNum w:abstractNumId="1">
    <w:nsid w:val="C3EC176E"/>
    <w:multiLevelType w:val="singleLevel"/>
    <w:tmpl w:val="C3EC176E"/>
    <w:lvl w:ilvl="0" w:tentative="0">
      <w:start w:val="2"/>
      <w:numFmt w:val="chineseCounting"/>
      <w:suff w:val="nothing"/>
      <w:lvlText w:val="（%1）"/>
      <w:lvlJc w:val="left"/>
      <w:rPr>
        <w:rFonts w:hint="eastAsia"/>
      </w:rPr>
    </w:lvl>
  </w:abstractNum>
  <w:abstractNum w:abstractNumId="2">
    <w:nsid w:val="16BEEEC9"/>
    <w:multiLevelType w:val="singleLevel"/>
    <w:tmpl w:val="16BEEEC9"/>
    <w:lvl w:ilvl="0" w:tentative="0">
      <w:start w:val="3"/>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zU1MGE0N2RjMDQ1ZWMwZDU3NDM0MWVhMjNhNTk5NDAifQ=="/>
  </w:docVars>
  <w:rsids>
    <w:rsidRoot w:val="00000000"/>
    <w:rsid w:val="00757021"/>
    <w:rsid w:val="01275A01"/>
    <w:rsid w:val="01415875"/>
    <w:rsid w:val="01AD4208"/>
    <w:rsid w:val="01CC1038"/>
    <w:rsid w:val="01F44FBF"/>
    <w:rsid w:val="02132438"/>
    <w:rsid w:val="02A50733"/>
    <w:rsid w:val="04E43B68"/>
    <w:rsid w:val="06826E7D"/>
    <w:rsid w:val="07D73D64"/>
    <w:rsid w:val="07F67F12"/>
    <w:rsid w:val="095A33EB"/>
    <w:rsid w:val="09C623D6"/>
    <w:rsid w:val="09D01456"/>
    <w:rsid w:val="0A223062"/>
    <w:rsid w:val="0AE42087"/>
    <w:rsid w:val="0B0E31F6"/>
    <w:rsid w:val="0CA061C2"/>
    <w:rsid w:val="0CCA0660"/>
    <w:rsid w:val="0D5D7B20"/>
    <w:rsid w:val="0EAF0E47"/>
    <w:rsid w:val="0EF552D0"/>
    <w:rsid w:val="0FD20500"/>
    <w:rsid w:val="10910A4F"/>
    <w:rsid w:val="110D6490"/>
    <w:rsid w:val="11906715"/>
    <w:rsid w:val="12136B98"/>
    <w:rsid w:val="12BA3AFE"/>
    <w:rsid w:val="1378011F"/>
    <w:rsid w:val="13F33A7F"/>
    <w:rsid w:val="13FF2F55"/>
    <w:rsid w:val="144F4844"/>
    <w:rsid w:val="15027781"/>
    <w:rsid w:val="159B437A"/>
    <w:rsid w:val="160049A9"/>
    <w:rsid w:val="18BC0157"/>
    <w:rsid w:val="18C63D70"/>
    <w:rsid w:val="19577D3F"/>
    <w:rsid w:val="1A4627C9"/>
    <w:rsid w:val="1AE44427"/>
    <w:rsid w:val="1C2C5942"/>
    <w:rsid w:val="1CC326FB"/>
    <w:rsid w:val="1CE83A6D"/>
    <w:rsid w:val="1D132149"/>
    <w:rsid w:val="1DFB51F1"/>
    <w:rsid w:val="1EE2375A"/>
    <w:rsid w:val="20796583"/>
    <w:rsid w:val="20AD099C"/>
    <w:rsid w:val="21297FFE"/>
    <w:rsid w:val="2229301C"/>
    <w:rsid w:val="2322183A"/>
    <w:rsid w:val="24EE4973"/>
    <w:rsid w:val="25C3146B"/>
    <w:rsid w:val="25F47FAD"/>
    <w:rsid w:val="25FA3C5B"/>
    <w:rsid w:val="262C00AD"/>
    <w:rsid w:val="266462E2"/>
    <w:rsid w:val="29016B83"/>
    <w:rsid w:val="292D497D"/>
    <w:rsid w:val="2A4A1F6F"/>
    <w:rsid w:val="2B6B5BBC"/>
    <w:rsid w:val="2CDB4975"/>
    <w:rsid w:val="2D456997"/>
    <w:rsid w:val="2DFF03EE"/>
    <w:rsid w:val="2F696CC5"/>
    <w:rsid w:val="306717F6"/>
    <w:rsid w:val="30FE2C63"/>
    <w:rsid w:val="314E73A8"/>
    <w:rsid w:val="31581F8F"/>
    <w:rsid w:val="32252328"/>
    <w:rsid w:val="33C911BB"/>
    <w:rsid w:val="35750A6C"/>
    <w:rsid w:val="35E7271A"/>
    <w:rsid w:val="372D5A13"/>
    <w:rsid w:val="39287C9C"/>
    <w:rsid w:val="3A9A6FCE"/>
    <w:rsid w:val="3A9D77B8"/>
    <w:rsid w:val="3BA134C3"/>
    <w:rsid w:val="3DF82895"/>
    <w:rsid w:val="3DFC6088"/>
    <w:rsid w:val="3E5D5ED9"/>
    <w:rsid w:val="3EA80DB7"/>
    <w:rsid w:val="3EE9746F"/>
    <w:rsid w:val="3F800075"/>
    <w:rsid w:val="3F8151B5"/>
    <w:rsid w:val="41161068"/>
    <w:rsid w:val="41945279"/>
    <w:rsid w:val="41D645E8"/>
    <w:rsid w:val="43285FD2"/>
    <w:rsid w:val="43BA2B46"/>
    <w:rsid w:val="43E04B67"/>
    <w:rsid w:val="44F06E51"/>
    <w:rsid w:val="45F05563"/>
    <w:rsid w:val="478352EB"/>
    <w:rsid w:val="478C033A"/>
    <w:rsid w:val="48480819"/>
    <w:rsid w:val="4899622D"/>
    <w:rsid w:val="48D71FED"/>
    <w:rsid w:val="491F0395"/>
    <w:rsid w:val="498371F1"/>
    <w:rsid w:val="4B1354DC"/>
    <w:rsid w:val="4B551784"/>
    <w:rsid w:val="4BB41CCB"/>
    <w:rsid w:val="4BC67ADA"/>
    <w:rsid w:val="4BD921D0"/>
    <w:rsid w:val="4BF9345A"/>
    <w:rsid w:val="4C867390"/>
    <w:rsid w:val="4D307206"/>
    <w:rsid w:val="4EC519B3"/>
    <w:rsid w:val="4FB07749"/>
    <w:rsid w:val="517032A4"/>
    <w:rsid w:val="51FD45F3"/>
    <w:rsid w:val="52F613B2"/>
    <w:rsid w:val="53201083"/>
    <w:rsid w:val="536C0E88"/>
    <w:rsid w:val="53BD5B6E"/>
    <w:rsid w:val="559A122A"/>
    <w:rsid w:val="56644281"/>
    <w:rsid w:val="58517E38"/>
    <w:rsid w:val="59D0719C"/>
    <w:rsid w:val="5AE619C0"/>
    <w:rsid w:val="5B343B43"/>
    <w:rsid w:val="5B911BB1"/>
    <w:rsid w:val="5BED6E7A"/>
    <w:rsid w:val="5C3C13BC"/>
    <w:rsid w:val="5CD934D7"/>
    <w:rsid w:val="5ED03ACE"/>
    <w:rsid w:val="5ED77D37"/>
    <w:rsid w:val="5FD27D04"/>
    <w:rsid w:val="60601A70"/>
    <w:rsid w:val="608A02CB"/>
    <w:rsid w:val="61454A2D"/>
    <w:rsid w:val="61A81FE9"/>
    <w:rsid w:val="61EB3984"/>
    <w:rsid w:val="620D1D04"/>
    <w:rsid w:val="63895A85"/>
    <w:rsid w:val="6469777A"/>
    <w:rsid w:val="654A7C57"/>
    <w:rsid w:val="66284B07"/>
    <w:rsid w:val="6B740478"/>
    <w:rsid w:val="6BDF6CA7"/>
    <w:rsid w:val="6CBB4266"/>
    <w:rsid w:val="6DE50053"/>
    <w:rsid w:val="6E225843"/>
    <w:rsid w:val="6E882298"/>
    <w:rsid w:val="6EB9448E"/>
    <w:rsid w:val="6FB93CBA"/>
    <w:rsid w:val="70740F90"/>
    <w:rsid w:val="71A859B5"/>
    <w:rsid w:val="723F28E1"/>
    <w:rsid w:val="72E0348B"/>
    <w:rsid w:val="73037E20"/>
    <w:rsid w:val="73B30B98"/>
    <w:rsid w:val="73E97A42"/>
    <w:rsid w:val="74B046FA"/>
    <w:rsid w:val="75A31A0E"/>
    <w:rsid w:val="76770191"/>
    <w:rsid w:val="768F29DD"/>
    <w:rsid w:val="78024774"/>
    <w:rsid w:val="79796581"/>
    <w:rsid w:val="797D1560"/>
    <w:rsid w:val="79863CB3"/>
    <w:rsid w:val="7A963C55"/>
    <w:rsid w:val="7B343E42"/>
    <w:rsid w:val="7CE42DA7"/>
    <w:rsid w:val="7D0B5280"/>
    <w:rsid w:val="7D104F24"/>
    <w:rsid w:val="7D24178F"/>
    <w:rsid w:val="7D974668"/>
    <w:rsid w:val="7D9A1271"/>
    <w:rsid w:val="7E107C2D"/>
    <w:rsid w:val="7E7052B6"/>
    <w:rsid w:val="7F1A2F0F"/>
    <w:rsid w:val="7F9C2508"/>
    <w:rsid w:val="7FCB2C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3">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p0"/>
    <w:basedOn w:val="13"/>
    <w:qFormat/>
    <w:uiPriority w:val="0"/>
    <w:pPr>
      <w:widowControl/>
      <w:spacing w:line="365" w:lineRule="atLeast"/>
      <w:ind w:left="1"/>
      <w:textAlignment w:val="bottom"/>
    </w:pPr>
    <w:rPr>
      <w:kern w:val="0"/>
      <w:sz w:val="20"/>
      <w:szCs w:val="20"/>
    </w:rPr>
  </w:style>
  <w:style w:type="paragraph" w:customStyle="1" w:styleId="13">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Body Text First Indent 21"/>
    <w:basedOn w:val="15"/>
    <w:qFormat/>
    <w:uiPriority w:val="0"/>
    <w:pPr>
      <w:ind w:firstLine="420" w:firstLineChars="200"/>
    </w:pPr>
  </w:style>
  <w:style w:type="paragraph" w:customStyle="1" w:styleId="15">
    <w:name w:val="Body Text Indent1"/>
    <w:basedOn w:val="1"/>
    <w:qFormat/>
    <w:uiPriority w:val="0"/>
    <w:pPr>
      <w:spacing w:after="120" w:afterLines="0" w:afterAutospacing="0"/>
      <w:ind w:left="420" w:leftChars="200"/>
    </w:pPr>
  </w:style>
  <w:style w:type="paragraph" w:customStyle="1" w:styleId="16">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4284</Words>
  <Characters>4384</Characters>
  <TotalTime>11</TotalTime>
  <ScaleCrop>false</ScaleCrop>
  <LinksUpToDate>false</LinksUpToDate>
  <CharactersWithSpaces>4409</CharactersWithSpaces>
  <Application>WPS Office_11.8.2.10158_F1E327BC-269C-435d-A152-05C5408002CA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2024-09-24T11:16:00Z</dcterms:created>
  <dc:creator>Administrator</dc:creator>
  <cp:lastModifiedBy>朱治文</cp:lastModifiedBy>
  <cp:lastPrinted>2024-12-25T03:35:00Z</cp:lastPrinted>
  <dcterms:modified xsi:type="dcterms:W3CDTF">2025-06-18T14:11:06Z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wqlLaW5nc29mdCBQREYgdG8gV1BTIDEwNQ</vt:lpwstr>
  </property>
  <property fmtid="{D5CDD505-2E9C-101B-9397-08002B2CF9AE}" pid="3" name="Created">
    <vt:filetime>2024-09-24T11:16:41Z</vt:filetime>
  </property>
  <property fmtid="{D5CDD505-2E9C-101B-9397-08002B2CF9AE}" pid="4" name="KSOProductBuildVer">
    <vt:lpwstr>2052-11.8.2.10158</vt:lpwstr>
  </property>
  <property fmtid="{D5CDD505-2E9C-101B-9397-08002B2CF9AE}" pid="5" name="ICV">
    <vt:lpwstr>4EDA7DDA91784659B61EEAD718B9FC7C_12</vt:lpwstr>
  </property>
</Properties>
</file>