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keepNext w:val="0"/>
        <w:keepLines w:val="0"/>
        <w:pageBreakBefore w:val="0"/>
        <w:wordWrap/>
        <w:overflowPunct/>
        <w:topLinePunct w:val="0"/>
        <w:bidi w:val="0"/>
        <w:spacing w:line="560" w:lineRule="exact"/>
        <w:jc w:val="center"/>
        <w:outlineLvl w:val="0"/>
        <w:rPr>
          <w:rFonts w:hint="eastAsia" w:ascii="方正小标宋_GBK" w:hAnsi="方正小标宋_GBK" w:eastAsia="方正小标宋_GBK"/>
          <w:color w:val="auto"/>
          <w:sz w:val="44"/>
        </w:rPr>
      </w:pPr>
    </w:p>
    <w:p>
      <w:pPr>
        <w:keepNext w:val="0"/>
        <w:keepLines w:val="0"/>
        <w:pageBreakBefore w:val="0"/>
        <w:wordWrap/>
        <w:overflowPunct/>
        <w:topLinePunct w:val="0"/>
        <w:bidi w:val="0"/>
        <w:spacing w:line="560" w:lineRule="exact"/>
        <w:jc w:val="center"/>
        <w:outlineLvl w:val="0"/>
        <w:rPr>
          <w:rFonts w:hint="eastAsia" w:ascii="方正小标宋_GBK" w:hAnsi="方正小标宋_GBK" w:eastAsia="方正小标宋_GBK" w:cs="方正小标宋_GBK"/>
          <w:sz w:val="43"/>
          <w:szCs w:val="43"/>
          <w:lang w:val="en-US" w:eastAsia="zh-CN"/>
        </w:rPr>
      </w:pPr>
      <w:r>
        <w:rPr>
          <w:rFonts w:hint="eastAsia" w:ascii="方正小标宋_GBK" w:hAnsi="方正小标宋_GBK" w:eastAsia="方正小标宋_GBK" w:cs="方正小标宋_GBK"/>
          <w:spacing w:val="9"/>
          <w:sz w:val="43"/>
          <w:szCs w:val="43"/>
        </w:rPr>
        <w:t>《</w:t>
      </w:r>
      <w:r>
        <w:rPr>
          <w:rFonts w:hint="eastAsia" w:ascii="方正小标宋_GBK" w:hAnsi="方正小标宋_GBK" w:eastAsia="方正小标宋_GBK" w:cs="方正小标宋_GBK"/>
          <w:color w:val="auto"/>
          <w:sz w:val="44"/>
        </w:rPr>
        <w:t>清城区</w:t>
      </w:r>
      <w:r>
        <w:rPr>
          <w:rFonts w:hint="eastAsia" w:ascii="方正小标宋_GBK" w:hAnsi="方正小标宋_GBK" w:eastAsia="方正小标宋_GBK" w:cs="方正小标宋_GBK"/>
          <w:color w:val="auto"/>
          <w:sz w:val="44"/>
          <w:lang w:eastAsia="zh-CN"/>
        </w:rPr>
        <w:t>区</w:t>
      </w:r>
      <w:r>
        <w:rPr>
          <w:rFonts w:hint="eastAsia" w:ascii="方正小标宋_GBK" w:hAnsi="方正小标宋_GBK" w:eastAsia="方正小标宋_GBK" w:cs="方正小标宋_GBK"/>
          <w:color w:val="auto"/>
          <w:sz w:val="44"/>
          <w:lang w:val="en-US" w:eastAsia="zh-CN"/>
        </w:rPr>
        <w:t>外</w:t>
      </w:r>
      <w:r>
        <w:rPr>
          <w:rFonts w:hint="eastAsia" w:ascii="方正小标宋_GBK" w:hAnsi="方正小标宋_GBK" w:eastAsia="方正小标宋_GBK" w:cs="方正小标宋_GBK"/>
          <w:color w:val="auto"/>
          <w:sz w:val="44"/>
        </w:rPr>
        <w:t>户籍适龄儿童（少年）申请</w:t>
      </w:r>
      <w:r>
        <w:rPr>
          <w:rFonts w:hint="eastAsia" w:ascii="方正小标宋_GBK" w:hAnsi="方正小标宋_GBK" w:eastAsia="方正小标宋_GBK" w:cs="方正小标宋_GBK"/>
          <w:color w:val="auto"/>
          <w:sz w:val="44"/>
          <w:lang w:eastAsia="zh-Hans"/>
        </w:rPr>
        <w:t>入读</w:t>
      </w:r>
      <w:r>
        <w:rPr>
          <w:rFonts w:hint="eastAsia" w:ascii="方正小标宋_GBK" w:hAnsi="方正小标宋_GBK" w:eastAsia="方正小标宋_GBK" w:cs="方正小标宋_GBK"/>
          <w:color w:val="auto"/>
          <w:sz w:val="44"/>
        </w:rPr>
        <w:t>公</w:t>
      </w:r>
      <w:r>
        <w:rPr>
          <w:rFonts w:hint="eastAsia" w:ascii="方正小标宋_GBK" w:hAnsi="方正小标宋_GBK" w:eastAsia="方正小标宋_GBK" w:cs="方正小标宋_GBK"/>
          <w:color w:val="auto"/>
          <w:sz w:val="44"/>
          <w:lang w:eastAsia="zh-Hans"/>
        </w:rPr>
        <w:t>办学校</w:t>
      </w:r>
      <w:r>
        <w:rPr>
          <w:rFonts w:hint="eastAsia" w:ascii="方正小标宋_GBK" w:hAnsi="方正小标宋_GBK" w:eastAsia="方正小标宋_GBK" w:cs="方正小标宋_GBK"/>
          <w:color w:val="auto"/>
          <w:sz w:val="44"/>
        </w:rPr>
        <w:t>实施细则</w:t>
      </w:r>
      <w:r>
        <w:rPr>
          <w:rFonts w:hint="eastAsia" w:ascii="方正小标宋_GBK" w:hAnsi="方正小标宋_GBK" w:eastAsia="方正小标宋_GBK" w:cs="方正小标宋_GBK"/>
          <w:spacing w:val="11"/>
          <w:sz w:val="43"/>
          <w:szCs w:val="43"/>
          <w:lang w:eastAsia="zh-CN"/>
        </w:rPr>
        <w:t>（</w:t>
      </w:r>
      <w:r>
        <w:rPr>
          <w:rFonts w:hint="eastAsia" w:ascii="方正小标宋_GBK" w:hAnsi="方正小标宋_GBK" w:eastAsia="方正小标宋_GBK" w:cs="方正小标宋_GBK"/>
          <w:spacing w:val="-18"/>
          <w:sz w:val="43"/>
          <w:szCs w:val="43"/>
        </w:rPr>
        <w:t>试行）》</w:t>
      </w:r>
      <w:r>
        <w:rPr>
          <w:rFonts w:hint="eastAsia" w:ascii="方正小标宋_GBK" w:hAnsi="方正小标宋_GBK" w:eastAsia="方正小标宋_GBK" w:cs="方正小标宋_GBK"/>
          <w:spacing w:val="-18"/>
          <w:sz w:val="43"/>
          <w:szCs w:val="43"/>
          <w:lang w:val="en-US" w:eastAsia="zh-CN"/>
        </w:rPr>
        <w:t>政策解读</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FangSong_GB2312" w:hAnsi="FangSong_GB2312" w:eastAsia="FangSong_GB2312" w:cs="FangSong_GB2312"/>
          <w:color w:val="auto"/>
          <w:sz w:val="32"/>
          <w:szCs w:val="32"/>
          <w:lang w:val="en-US" w:eastAsia="zh-CN"/>
        </w:rPr>
      </w:pPr>
    </w:p>
    <w:p>
      <w:pPr>
        <w:pStyle w:val="3"/>
        <w:keepNext w:val="0"/>
        <w:keepLines w:val="0"/>
        <w:pageBreakBefore w:val="0"/>
        <w:wordWrap/>
        <w:overflowPunct/>
        <w:topLinePunct w:val="0"/>
        <w:bidi w:val="0"/>
        <w:spacing w:before="101" w:line="520" w:lineRule="exact"/>
        <w:ind w:left="123" w:firstLine="658"/>
        <w:rPr>
          <w:rFonts w:hint="eastAsia" w:ascii="仿宋_GB2312" w:hAnsi="仿宋_GB2312" w:eastAsia="仿宋_GB2312" w:cs="仿宋_GB2312"/>
          <w:color w:val="000000" w:themeColor="text1"/>
          <w:u w:val="none"/>
          <w:lang w:val="en-US" w:eastAsia="en-US"/>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为进一步规范清城区区外</w:t>
      </w:r>
      <w:r>
        <w:rPr>
          <w:rFonts w:hint="eastAsia" w:ascii="仿宋_GB2312" w:hAnsi="仿宋_GB2312" w:eastAsia="仿宋_GB2312" w:cs="仿宋_GB2312"/>
          <w:color w:val="000000" w:themeColor="text1"/>
          <w:sz w:val="32"/>
          <w:szCs w:val="32"/>
          <w:u w:val="none"/>
          <w14:textFill>
            <w14:solidFill>
              <w14:schemeClr w14:val="tx1"/>
            </w14:solidFill>
          </w14:textFill>
        </w:rPr>
        <w:t>户籍适龄儿童（少年）</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申请入读公办学校的工作，确保做到公平有序，根据国家、省、市有关招生工作文件精神</w:t>
      </w:r>
      <w:r>
        <w:rPr>
          <w:rFonts w:hint="eastAsia" w:ascii="仿宋_GB2312" w:hAnsi="仿宋_GB2312" w:eastAsia="仿宋_GB2312" w:cs="仿宋_GB2312"/>
          <w:snapToGrid/>
          <w:color w:val="000000" w:themeColor="text1"/>
          <w:kern w:val="2"/>
          <w:sz w:val="32"/>
          <w:szCs w:val="32"/>
          <w:u w:val="none"/>
          <w:lang w:val="en-US" w:eastAsia="zh-CN"/>
          <w14:textFill>
            <w14:solidFill>
              <w14:schemeClr w14:val="tx1"/>
            </w14:solidFill>
          </w14:textFill>
        </w:rPr>
        <w:t>，结合我区实际，我局制定《清城区区外户籍适龄儿童（少年）申请</w:t>
      </w:r>
      <w:r>
        <w:rPr>
          <w:rFonts w:hint="eastAsia" w:ascii="仿宋_GB2312" w:hAnsi="仿宋_GB2312" w:eastAsia="仿宋_GB2312" w:cs="仿宋_GB2312"/>
          <w:snapToGrid/>
          <w:color w:val="000000" w:themeColor="text1"/>
          <w:kern w:val="2"/>
          <w:sz w:val="32"/>
          <w:szCs w:val="32"/>
          <w:u w:val="none"/>
          <w:lang w:val="en-US" w:eastAsia="zh-Hans"/>
          <w14:textFill>
            <w14:solidFill>
              <w14:schemeClr w14:val="tx1"/>
            </w14:solidFill>
          </w14:textFill>
        </w:rPr>
        <w:t>入读</w:t>
      </w:r>
      <w:r>
        <w:rPr>
          <w:rFonts w:hint="eastAsia" w:ascii="仿宋_GB2312" w:hAnsi="仿宋_GB2312" w:eastAsia="仿宋_GB2312" w:cs="仿宋_GB2312"/>
          <w:snapToGrid/>
          <w:color w:val="000000" w:themeColor="text1"/>
          <w:kern w:val="2"/>
          <w:sz w:val="32"/>
          <w:szCs w:val="32"/>
          <w:u w:val="none"/>
          <w:lang w:val="en-US" w:eastAsia="zh-CN"/>
          <w14:textFill>
            <w14:solidFill>
              <w14:schemeClr w14:val="tx1"/>
            </w14:solidFill>
          </w14:textFill>
        </w:rPr>
        <w:t>公</w:t>
      </w:r>
      <w:r>
        <w:rPr>
          <w:rFonts w:hint="eastAsia" w:ascii="仿宋_GB2312" w:hAnsi="仿宋_GB2312" w:eastAsia="仿宋_GB2312" w:cs="仿宋_GB2312"/>
          <w:snapToGrid/>
          <w:color w:val="000000" w:themeColor="text1"/>
          <w:kern w:val="2"/>
          <w:sz w:val="32"/>
          <w:szCs w:val="32"/>
          <w:u w:val="none"/>
          <w:lang w:val="en-US" w:eastAsia="zh-Hans"/>
          <w14:textFill>
            <w14:solidFill>
              <w14:schemeClr w14:val="tx1"/>
            </w14:solidFill>
          </w14:textFill>
        </w:rPr>
        <w:t>办学校</w:t>
      </w:r>
      <w:r>
        <w:rPr>
          <w:rFonts w:hint="eastAsia" w:ascii="仿宋_GB2312" w:hAnsi="仿宋_GB2312" w:eastAsia="仿宋_GB2312" w:cs="仿宋_GB2312"/>
          <w:snapToGrid/>
          <w:color w:val="000000" w:themeColor="text1"/>
          <w:kern w:val="2"/>
          <w:sz w:val="32"/>
          <w:szCs w:val="32"/>
          <w:u w:val="none"/>
          <w:lang w:val="en-US" w:eastAsia="zh-CN"/>
          <w14:textFill>
            <w14:solidFill>
              <w14:schemeClr w14:val="tx1"/>
            </w14:solidFill>
          </w14:textFill>
        </w:rPr>
        <w:t>实施细则（试行）》（以下简称《实施细则》），现将有关政策解读如下：</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68" w:firstLineChars="200"/>
        <w:jc w:val="both"/>
        <w:rPr>
          <w:rFonts w:hint="eastAsia" w:ascii="黑体" w:hAnsi="黑体" w:eastAsia="黑体" w:cs="黑体"/>
          <w:color w:val="000000" w:themeColor="text1"/>
          <w:spacing w:val="7"/>
          <w:sz w:val="32"/>
          <w:szCs w:val="32"/>
          <w:u w:val="none"/>
          <w:lang w:val="en-US" w:eastAsia="zh-CN"/>
          <w14:textFill>
            <w14:solidFill>
              <w14:schemeClr w14:val="tx1"/>
            </w14:solidFill>
          </w14:textFill>
        </w:rPr>
      </w:pPr>
      <w:r>
        <w:rPr>
          <w:rFonts w:hint="eastAsia" w:ascii="黑体" w:hAnsi="黑体" w:eastAsia="黑体" w:cs="黑体"/>
          <w:color w:val="000000" w:themeColor="text1"/>
          <w:spacing w:val="7"/>
          <w:sz w:val="32"/>
          <w:szCs w:val="32"/>
          <w:u w:val="none"/>
          <w:lang w:val="en-US" w:eastAsia="en-US"/>
          <w14:textFill>
            <w14:solidFill>
              <w14:schemeClr w14:val="tx1"/>
            </w14:solidFill>
          </w14:textFill>
        </w:rPr>
        <w:t>一、</w:t>
      </w:r>
      <w:r>
        <w:rPr>
          <w:rFonts w:hint="eastAsia" w:ascii="黑体" w:hAnsi="黑体" w:eastAsia="黑体" w:cs="黑体"/>
          <w:color w:val="000000" w:themeColor="text1"/>
          <w:spacing w:val="7"/>
          <w:sz w:val="32"/>
          <w:szCs w:val="32"/>
          <w:u w:val="none"/>
          <w:lang w:val="en-US" w:eastAsia="zh-CN"/>
          <w14:textFill>
            <w14:solidFill>
              <w14:schemeClr w14:val="tx1"/>
            </w14:solidFill>
          </w14:textFill>
        </w:rPr>
        <w:t>制定《实施细则》</w:t>
      </w:r>
      <w:r>
        <w:rPr>
          <w:rFonts w:hint="eastAsia" w:ascii="黑体" w:hAnsi="黑体" w:eastAsia="黑体" w:cs="黑体"/>
          <w:color w:val="000000" w:themeColor="text1"/>
          <w:spacing w:val="8"/>
          <w:sz w:val="31"/>
          <w:szCs w:val="31"/>
          <w:u w:val="none"/>
          <w14:textFill>
            <w14:solidFill>
              <w14:schemeClr w14:val="tx1"/>
            </w14:solidFill>
          </w14:textFill>
        </w:rPr>
        <w:t>的</w:t>
      </w:r>
      <w:r>
        <w:rPr>
          <w:rFonts w:hint="eastAsia" w:ascii="黑体" w:hAnsi="黑体" w:eastAsia="黑体" w:cs="黑体"/>
          <w:color w:val="000000" w:themeColor="text1"/>
          <w:spacing w:val="8"/>
          <w:sz w:val="31"/>
          <w:szCs w:val="31"/>
          <w:u w:val="none"/>
          <w:lang w:val="en-US" w:eastAsia="zh-CN"/>
          <w14:textFill>
            <w14:solidFill>
              <w14:schemeClr w14:val="tx1"/>
            </w14:solidFill>
          </w14:textFill>
        </w:rPr>
        <w:t>背景</w:t>
      </w:r>
    </w:p>
    <w:p>
      <w:pPr>
        <w:pStyle w:val="3"/>
        <w:keepNext w:val="0"/>
        <w:keepLines w:val="0"/>
        <w:pageBreakBefore w:val="0"/>
        <w:wordWrap/>
        <w:overflowPunct/>
        <w:topLinePunct w:val="0"/>
        <w:bidi w:val="0"/>
        <w:spacing w:before="101" w:line="520" w:lineRule="exact"/>
        <w:ind w:left="123" w:firstLine="658"/>
        <w:rPr>
          <w:rFonts w:hint="eastAsia" w:ascii="方正仿宋_GB2312" w:hAnsi="方正仿宋_GB2312" w:eastAsia="方正仿宋_GB2312" w:cs="方正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依据《中华人民共和国义务教育法》第十二条规定：“适龄儿童、少年免试入学。地方各级人民政府应当保障适龄儿童、少年在户籍所在地学校就近入学”，我区保障清城区户籍适龄儿童（少年）在户籍所在地就近入学接受义务教育。同时，根据清城区公办学校的实际办学情况，通过“积分入学”的办法，公平、有序地统筹区外户籍适龄儿童（少年）入读我区公办学校。</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68" w:firstLineChars="200"/>
        <w:jc w:val="both"/>
        <w:rPr>
          <w:rFonts w:hint="eastAsia" w:ascii="黑体" w:hAnsi="黑体" w:eastAsia="黑体" w:cs="黑体"/>
          <w:color w:val="000000" w:themeColor="text1"/>
          <w:spacing w:val="7"/>
          <w:sz w:val="32"/>
          <w:szCs w:val="32"/>
          <w:u w:val="none"/>
          <w:lang w:val="en-US" w:eastAsia="en-US"/>
          <w14:textFill>
            <w14:solidFill>
              <w14:schemeClr w14:val="tx1"/>
            </w14:solidFill>
          </w14:textFill>
        </w:rPr>
      </w:pPr>
      <w:r>
        <w:rPr>
          <w:rFonts w:hint="eastAsia" w:ascii="黑体" w:hAnsi="黑体" w:eastAsia="黑体" w:cs="黑体"/>
          <w:color w:val="000000" w:themeColor="text1"/>
          <w:spacing w:val="7"/>
          <w:sz w:val="32"/>
          <w:szCs w:val="32"/>
          <w:u w:val="none"/>
          <w:lang w:val="en-US" w:eastAsia="zh-CN"/>
          <w14:textFill>
            <w14:solidFill>
              <w14:schemeClr w14:val="tx1"/>
            </w14:solidFill>
          </w14:textFill>
        </w:rPr>
        <w:t>二、制定《实施细则》的主要</w:t>
      </w:r>
      <w:r>
        <w:rPr>
          <w:rFonts w:hint="eastAsia" w:ascii="黑体" w:hAnsi="黑体" w:eastAsia="黑体" w:cs="黑体"/>
          <w:color w:val="000000" w:themeColor="text1"/>
          <w:spacing w:val="7"/>
          <w:sz w:val="32"/>
          <w:szCs w:val="32"/>
          <w:u w:val="none"/>
          <w:lang w:val="en-US" w:eastAsia="en-US"/>
          <w14:textFill>
            <w14:solidFill>
              <w14:schemeClr w14:val="tx1"/>
            </w14:solidFill>
          </w14:textFill>
        </w:rPr>
        <w:t>依据</w:t>
      </w:r>
      <w:r>
        <w:rPr>
          <w:rFonts w:hint="eastAsia" w:ascii="黑体" w:hAnsi="黑体" w:eastAsia="黑体" w:cs="黑体"/>
          <w:color w:val="000000" w:themeColor="text1"/>
          <w:spacing w:val="7"/>
          <w:sz w:val="32"/>
          <w:szCs w:val="32"/>
          <w:u w:val="none"/>
          <w:lang w:val="en-US" w:eastAsia="zh-CN"/>
          <w14:textFill>
            <w14:solidFill>
              <w14:schemeClr w14:val="tx1"/>
            </w14:solidFill>
          </w14:textFill>
        </w:rPr>
        <w:t>和过程</w:t>
      </w:r>
    </w:p>
    <w:p>
      <w:pPr>
        <w:pStyle w:val="3"/>
        <w:keepNext w:val="0"/>
        <w:keepLines w:val="0"/>
        <w:pageBreakBefore w:val="0"/>
        <w:wordWrap/>
        <w:overflowPunct/>
        <w:topLinePunct w:val="0"/>
        <w:bidi w:val="0"/>
        <w:spacing w:before="101" w:line="520" w:lineRule="exact"/>
        <w:ind w:left="123" w:firstLine="658"/>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实施细则》的主要依据包括《中华人民共和国义务教育法》《关于做好进城务工人员随迁子女义务教育工作的意见》（粤府办〔2011〕45号）《清远市退役军人事务局等19个部门关于印发&lt;清远市军人及军属、退役军人和其他优抚对象优待实施办法&gt;的通知》等文件。</w:t>
      </w:r>
    </w:p>
    <w:p>
      <w:pPr>
        <w:pStyle w:val="3"/>
        <w:keepNext w:val="0"/>
        <w:keepLines w:val="0"/>
        <w:pageBreakBefore w:val="0"/>
        <w:wordWrap/>
        <w:overflowPunct/>
        <w:topLinePunct w:val="0"/>
        <w:bidi w:val="0"/>
        <w:spacing w:before="101" w:line="520" w:lineRule="exact"/>
        <w:ind w:left="123" w:firstLine="658"/>
        <w:rPr>
          <w:rFonts w:hint="eastAsia" w:ascii="仿宋_GB2312" w:hAnsi="仿宋_GB2312" w:eastAsia="仿宋_GB2312" w:cs="仿宋_GB2312"/>
          <w:snapToGrid w:val="0"/>
          <w:color w:val="000000" w:themeColor="text1"/>
          <w:kern w:val="0"/>
          <w:sz w:val="32"/>
          <w:szCs w:val="32"/>
          <w:u w:val="none"/>
          <w:lang w:val="en-US" w:eastAsia="zh-CN" w:bidi="ar-SA"/>
          <w14:textFill>
            <w14:solidFill>
              <w14:schemeClr w14:val="tx1"/>
            </w14:solidFill>
          </w14:textFill>
        </w:rPr>
      </w:pPr>
      <w:r>
        <w:rPr>
          <w:rFonts w:hint="eastAsia" w:ascii="仿宋_GB2312" w:hAnsi="仿宋_GB2312" w:eastAsia="仿宋_GB2312" w:cs="仿宋_GB2312"/>
          <w:snapToGrid w:val="0"/>
          <w:color w:val="000000" w:themeColor="text1"/>
          <w:kern w:val="0"/>
          <w:sz w:val="32"/>
          <w:szCs w:val="32"/>
          <w:u w:val="none"/>
          <w:lang w:val="en-US" w:eastAsia="zh-CN" w:bidi="ar-SA"/>
          <w14:textFill>
            <w14:solidFill>
              <w14:schemeClr w14:val="tx1"/>
            </w14:solidFill>
          </w14:textFill>
        </w:rPr>
        <w:t>制定《实施细则》的过程中，我局坚持《实施细则》的内容与现行政策法规保持一致的原则，并广泛征求各相关部门、镇街和市、区人大、政协代表的意见，并通过清城区人民政府网站以公告的形式，向社会公众征求了意见和建议，对公众反馈的意见和建议进行逐一回复。同时，我局向清远市自然资源局、清远市中心血站、清远市社会保险基金管理局清城直属分局等28个部门发出《实施细则》（征求意见稿）的征求意见函。在此基础上，不断修订完善《实施细则》并形成试行稿。</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68" w:firstLineChars="200"/>
        <w:jc w:val="both"/>
        <w:rPr>
          <w:rFonts w:hint="eastAsia" w:ascii="黑体" w:hAnsi="黑体" w:eastAsia="黑体" w:cs="黑体"/>
          <w:color w:val="000000" w:themeColor="text1"/>
          <w:spacing w:val="7"/>
          <w:sz w:val="32"/>
          <w:szCs w:val="32"/>
          <w:u w:val="none"/>
          <w:lang w:val="en-US" w:eastAsia="zh-CN"/>
          <w14:textFill>
            <w14:solidFill>
              <w14:schemeClr w14:val="tx1"/>
            </w14:solidFill>
          </w14:textFill>
        </w:rPr>
      </w:pPr>
      <w:r>
        <w:rPr>
          <w:rFonts w:hint="eastAsia" w:ascii="黑体" w:hAnsi="黑体" w:eastAsia="黑体" w:cs="黑体"/>
          <w:color w:val="000000" w:themeColor="text1"/>
          <w:spacing w:val="7"/>
          <w:sz w:val="32"/>
          <w:szCs w:val="32"/>
          <w:u w:val="none"/>
          <w:lang w:val="en-US" w:eastAsia="zh-CN"/>
          <w14:textFill>
            <w14:solidFill>
              <w14:schemeClr w14:val="tx1"/>
            </w14:solidFill>
          </w14:textFill>
        </w:rPr>
        <w:t>三、《实施细则》主要内容解读</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40" w:firstLineChars="200"/>
        <w:jc w:val="both"/>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pP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（一）为什么对现役（退役）军人子女实施保障性入学的政策？</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40" w:firstLineChars="200"/>
        <w:jc w:val="both"/>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依据《中华人民共和国义务教育法》第十二条“县级人民政府教育行政部门对本行政区域内的军人子女接受义务教育予以保障”，以及《清远市退役军人事务局等19个部门关于印发&lt;清远市军人及军属、退役军人和其他优抚对象优待实施办法&gt;的通知》第二十七条“现役军人和其他优抚对象子女可以在其父母或者其他法定监护人户籍所在地，就近就便入读公办或普惠性民办幼儿园以及公办义务教育阶段学校。对需要跨学区入学的，教育行政部门在有条件的情况下给予照顾解决，不得收取国家政策规定以外的费用。残疾军人、退役士兵、‘三属’子女，现役军人子女， 按照教育部门的政策规定享受教育优待”。</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40" w:firstLineChars="200"/>
        <w:jc w:val="both"/>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pP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（二）为什么对符合条件的进城务工人员随迁子女实施保障性入学的政策？</w:t>
      </w:r>
    </w:p>
    <w:p>
      <w:pPr>
        <w:pStyle w:val="3"/>
        <w:keepNext w:val="0"/>
        <w:keepLines w:val="0"/>
        <w:pageBreakBefore w:val="0"/>
        <w:wordWrap/>
        <w:overflowPunct/>
        <w:topLinePunct w:val="0"/>
        <w:bidi w:val="0"/>
        <w:spacing w:before="101" w:line="520" w:lineRule="exact"/>
        <w:ind w:left="123" w:firstLine="658"/>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依据广东省人民政府办公厅《关于做好进城务工人员随迁子女义务教育工作的意见》（粤府办〔2011〕45号）的文件要求：“健全随迁子女平等接受义务教育的保障机制，完善随迁子女义务教育配套政策。各地级以上市要按照国家和省的要求，落实以输入地政府管理为主、以公办学校为主的原则，结合本市经济社会发展规划及人口分布与变化趋势，完善随迁子女义务教育政策，为其平等接受义务教育提供制度保障。要认真贯彻落实《广东省流动人口服务管理条例》，保障在同一居住地连续居住并依法缴纳社会保险费满五年、有稳定职业、符合计划生育政策的居住证持证人子女与常住户口学生同等接受义务教育。”符合条件的进城务工人员随迁子女户籍为：本人及其法定监护人（其中一方）均为清远市外户籍。</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40" w:firstLineChars="200"/>
        <w:jc w:val="both"/>
        <w:rPr>
          <w:rFonts w:hint="default" w:ascii="方正楷体_GB2312" w:hAnsi="方正楷体_GB2312" w:eastAsia="方正楷体_GB2312" w:cs="方正楷体_GB2312"/>
          <w:snapToGrid/>
          <w:color w:val="000000" w:themeColor="text1"/>
          <w:kern w:val="2"/>
          <w:sz w:val="32"/>
          <w:szCs w:val="32"/>
          <w:u w:val="none"/>
          <w:lang w:val="en-US" w:eastAsia="zh-CN" w:bidi="ar-SA"/>
          <w14:textFill>
            <w14:solidFill>
              <w14:schemeClr w14:val="tx1"/>
            </w14:solidFill>
          </w14:textFill>
        </w:rPr>
      </w:pP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（三）区外户籍适龄儿童（少年）本人或其法定监护人在清城区公办学校学区内拥有的合法房产如何界定？</w:t>
      </w:r>
    </w:p>
    <w:p>
      <w:pPr>
        <w:pStyle w:val="3"/>
        <w:keepNext w:val="0"/>
        <w:keepLines w:val="0"/>
        <w:pageBreakBefore w:val="0"/>
        <w:wordWrap/>
        <w:overflowPunct/>
        <w:topLinePunct w:val="0"/>
        <w:bidi w:val="0"/>
        <w:spacing w:before="101" w:line="520" w:lineRule="exact"/>
        <w:ind w:left="123" w:firstLine="658"/>
        <w:rPr>
          <w:rFonts w:hint="eastAsia" w:ascii="方正仿宋_GB2312" w:hAnsi="方正仿宋_GB2312" w:eastAsia="方正仿宋_GB2312" w:cs="方正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合法房产”指区外户籍适龄儿童（少年）本人或其法定监护人在清城区范围内持有房产证或不动产权证书，没有权属纠纷，受法律保护，适龄儿童（少年）本人或其法定监护人权属占比51%或以上的住宅类商品房。</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40" w:firstLineChars="200"/>
        <w:jc w:val="both"/>
        <w:rPr>
          <w:rFonts w:hint="default"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pP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（四）区外户籍适龄儿童（少年）本人或其法定监护人在清城区范围内拥有多套合法房产如何申请？</w:t>
      </w:r>
    </w:p>
    <w:p>
      <w:pPr>
        <w:pStyle w:val="3"/>
        <w:keepNext w:val="0"/>
        <w:keepLines w:val="0"/>
        <w:pageBreakBefore w:val="0"/>
        <w:wordWrap/>
        <w:overflowPunct/>
        <w:topLinePunct w:val="0"/>
        <w:bidi w:val="0"/>
        <w:spacing w:before="101" w:line="520" w:lineRule="exact"/>
        <w:ind w:left="123" w:firstLine="658"/>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区外适龄儿童（少年）本人或其法定监护人在清城区范围拥有多套合法房产，其法定监护人只可以选择其中一套合法房产证明材料，向房产所在学区的学校提交入读申请，并作为计分依据。</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40" w:firstLineChars="200"/>
        <w:jc w:val="both"/>
        <w:rPr>
          <w:rFonts w:hint="default"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pP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（五）区外户籍适龄儿童（少年）本人或其法定监护人在清城区学校学区内拥有的合法房产建筑面积最高计分只有110分？</w:t>
      </w:r>
    </w:p>
    <w:p>
      <w:pPr>
        <w:pStyle w:val="3"/>
        <w:keepNext w:val="0"/>
        <w:keepLines w:val="0"/>
        <w:pageBreakBefore w:val="0"/>
        <w:wordWrap/>
        <w:overflowPunct/>
        <w:topLinePunct w:val="0"/>
        <w:bidi w:val="0"/>
        <w:spacing w:before="101" w:line="520" w:lineRule="exact"/>
        <w:ind w:left="123" w:firstLine="658"/>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据粤安居系统后台数据统计，2019年1月1日至2023年12月31日期间，清城区已售住宅类商品房平均每套建筑面积约为110㎡。参照这个标准，区外户籍适龄儿童（少年）本人或其法定监护人的合法房产建筑面积超过110㎡的按最高110㎡计算，建筑面积不足110㎡的按实际面积计算，并按建筑面积每平方米1分计算，因此区外户籍适龄儿童（少年）本人或其法定监护人的合法房产建筑面积最高计分为110分。</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40" w:firstLineChars="200"/>
        <w:jc w:val="both"/>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pP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（六）为什么区外户籍适龄儿童（少年）本人或其法定监护人的合法房产购买时长按月给予计分？</w:t>
      </w:r>
    </w:p>
    <w:p>
      <w:pPr>
        <w:pStyle w:val="3"/>
        <w:keepNext w:val="0"/>
        <w:keepLines w:val="0"/>
        <w:pageBreakBefore w:val="0"/>
        <w:wordWrap/>
        <w:overflowPunct/>
        <w:topLinePunct w:val="0"/>
        <w:bidi w:val="0"/>
        <w:spacing w:before="101" w:line="520" w:lineRule="exact"/>
        <w:ind w:left="123" w:firstLine="658"/>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区外户籍适龄儿童（少年）本人或其法定监护人的合法房产购买时间越早，说明其在清城区生活时间越长，故按该合法房产的房产证或不动产权证书登记时间起计算积分。</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40" w:firstLineChars="200"/>
        <w:jc w:val="both"/>
        <w:rPr>
          <w:rFonts w:hint="default" w:ascii="方正楷体_GB2312" w:hAnsi="方正楷体_GB2312" w:eastAsia="方正楷体_GB2312" w:cs="方正楷体_GB2312"/>
          <w:snapToGrid/>
          <w:color w:val="000000" w:themeColor="text1"/>
          <w:kern w:val="2"/>
          <w:sz w:val="32"/>
          <w:szCs w:val="32"/>
          <w:u w:val="none"/>
          <w:lang w:val="en-US" w:eastAsia="zh-CN" w:bidi="ar-SA"/>
          <w14:textFill>
            <w14:solidFill>
              <w14:schemeClr w14:val="tx1"/>
            </w14:solidFill>
          </w14:textFill>
        </w:rPr>
      </w:pP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（七）区外户籍适龄儿童（少年）其法定监护人在清城区就业（创业）所缴纳的社会保险（指养老和医疗保险）如何计算积分？</w:t>
      </w:r>
    </w:p>
    <w:p>
      <w:pPr>
        <w:pStyle w:val="3"/>
        <w:keepNext w:val="0"/>
        <w:keepLines w:val="0"/>
        <w:pageBreakBefore w:val="0"/>
        <w:wordWrap/>
        <w:overflowPunct/>
        <w:topLinePunct w:val="0"/>
        <w:bidi w:val="0"/>
        <w:spacing w:before="101" w:line="520" w:lineRule="exact"/>
        <w:ind w:left="123" w:firstLine="658"/>
        <w:rPr>
          <w:rFonts w:hint="eastAsia" w:ascii="方正仿宋_GB2312" w:hAnsi="方正仿宋_GB2312" w:eastAsia="方正仿宋_GB2312" w:cs="方正仿宋_GB2312"/>
          <w:snapToGrid/>
          <w:color w:val="000000" w:themeColor="text1"/>
          <w:kern w:val="2"/>
          <w:sz w:val="32"/>
          <w:szCs w:val="32"/>
          <w:u w:val="none"/>
          <w:lang w:val="en-US" w:eastAsia="zh-CN" w:bidi="ar-SA"/>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区外户籍适龄儿童（少年）其法定监护人（不超过2人）在清城区内就业（创业）并缴纳清城区社会保险，个人的养老和医疗保险可分项累计积分，每项保险每1个月计0.5分。例如，区外户籍适龄儿童（少年）其父亲已缴纳个人养老和医疗两项保险均为10个月，其母亲只缴纳个人养老保险3个月，即其父亲个人的社会保险积分计算为10</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0.5</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2=10分（包含养老和医疗保险），其母亲个人的社会保险积分计算为3</w:t>
      </w:r>
      <w:r>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t>×</w:t>
      </w: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0.5=1.5分，该区外户籍适龄儿童（少年）其法定监护人的社会保险积分合计11.5分。</w:t>
      </w:r>
      <w:r>
        <w:rPr>
          <w:rFonts w:hint="eastAsia" w:ascii="方正仿宋_GB2312" w:hAnsi="方正仿宋_GB2312" w:eastAsia="方正仿宋_GB2312" w:cs="方正仿宋_GB2312"/>
          <w:snapToGrid/>
          <w:color w:val="000000" w:themeColor="text1"/>
          <w:kern w:val="2"/>
          <w:sz w:val="32"/>
          <w:szCs w:val="32"/>
          <w:u w:val="none"/>
          <w:lang w:val="en-US" w:eastAsia="zh-CN" w:bidi="ar-SA"/>
          <w14:textFill>
            <w14:solidFill>
              <w14:schemeClr w14:val="tx1"/>
            </w14:solidFill>
          </w14:textFill>
        </w:rPr>
        <w:t>外地转入社保、补缴的不计算年限和积分。</w:t>
      </w:r>
    </w:p>
    <w:p>
      <w:pPr>
        <w:pStyle w:val="2"/>
        <w:keepNext w:val="0"/>
        <w:keepLines w:val="0"/>
        <w:pageBreakBefore w:val="0"/>
        <w:numPr>
          <w:ilvl w:val="0"/>
          <w:numId w:val="0"/>
        </w:numPr>
        <w:wordWrap/>
        <w:overflowPunct/>
        <w:topLinePunct w:val="0"/>
        <w:bidi w:val="0"/>
        <w:spacing w:line="520" w:lineRule="exact"/>
        <w:ind w:firstLine="640" w:firstLineChars="200"/>
        <w:rPr>
          <w:rFonts w:hint="default"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区外户籍适龄儿童（少年）其法定监护人的社会保险和社会贡献积分计算时限为五年前的5月1日至当年的4月30日。即2025年秋季申请入读公办学校的区外户籍适龄儿童（少年），其法定监护人的此项积分计算时限自2020年5月1日至2025年4月30日止。</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40" w:firstLineChars="200"/>
        <w:jc w:val="both"/>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pP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（八）为什么设置加分指标项目？</w:t>
      </w:r>
    </w:p>
    <w:p>
      <w:pPr>
        <w:pStyle w:val="2"/>
        <w:keepNext w:val="0"/>
        <w:keepLines w:val="0"/>
        <w:pageBreakBefore w:val="0"/>
        <w:numPr>
          <w:ilvl w:val="0"/>
          <w:numId w:val="0"/>
        </w:numPr>
        <w:wordWrap/>
        <w:overflowPunct/>
        <w:topLinePunct w:val="0"/>
        <w:bidi w:val="0"/>
        <w:spacing w:line="520" w:lineRule="exact"/>
        <w:ind w:firstLine="640" w:firstLineChars="200"/>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为鼓励区外户籍适龄儿童（少年）本人或其法定监护人（不超过2人）对清城区社会志愿服务等方面作出贡献，给予相应的分数。因《实施细则》属于试行阶段，暂时选取群众广泛参与的志愿服务列为加分指标项目。此项积分计算时限自2020年5月1日至2025年4月30日止。</w:t>
      </w:r>
    </w:p>
    <w:p>
      <w:pPr>
        <w:pStyle w:val="6"/>
        <w:keepNext w:val="0"/>
        <w:keepLines w:val="0"/>
        <w:pageBreakBefore w:val="0"/>
        <w:widowControl/>
        <w:numPr>
          <w:ilvl w:val="0"/>
          <w:numId w:val="0"/>
        </w:numPr>
        <w:shd w:val="clear" w:color="auto" w:fill="FFFFFF"/>
        <w:wordWrap/>
        <w:overflowPunct/>
        <w:topLinePunct w:val="0"/>
        <w:bidi w:val="0"/>
        <w:spacing w:before="0" w:beforeAutospacing="0" w:after="0" w:afterAutospacing="0" w:line="520" w:lineRule="exact"/>
        <w:ind w:right="0" w:rightChars="0" w:firstLine="640" w:firstLineChars="200"/>
        <w:jc w:val="both"/>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pP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（九）为什么对</w:t>
      </w:r>
      <w:r>
        <w:rPr>
          <w:rFonts w:hint="eastAsia" w:ascii="楷体_GB2312" w:hAnsi="楷体_GB2312" w:eastAsia="楷体_GB2312" w:cs="楷体_GB2312"/>
          <w:color w:val="000000" w:themeColor="text1"/>
          <w:spacing w:val="15"/>
          <w:sz w:val="32"/>
          <w:szCs w:val="32"/>
          <w:u w:val="none"/>
          <w:shd w:val="clear" w:color="auto" w:fill="FFFFFF"/>
          <w:lang w:val="en-US" w:eastAsia="zh-CN"/>
          <w14:textFill>
            <w14:solidFill>
              <w14:schemeClr w14:val="tx1"/>
            </w14:solidFill>
          </w14:textFill>
        </w:rPr>
        <w:t>具有清城区小学学籍的</w:t>
      </w: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区外户籍适龄儿童</w:t>
      </w:r>
      <w:r>
        <w:rPr>
          <w:rFonts w:hint="eastAsia" w:ascii="楷体_GB2312" w:hAnsi="楷体_GB2312" w:eastAsia="楷体_GB2312" w:cs="楷体_GB2312"/>
          <w:color w:val="000000" w:themeColor="text1"/>
          <w:spacing w:val="15"/>
          <w:sz w:val="32"/>
          <w:szCs w:val="32"/>
          <w:u w:val="none"/>
          <w:shd w:val="clear" w:color="auto" w:fill="FFFFFF"/>
          <w:lang w:val="en-US" w:eastAsia="zh-CN"/>
          <w14:textFill>
            <w14:solidFill>
              <w14:schemeClr w14:val="tx1"/>
            </w14:solidFill>
          </w14:textFill>
        </w:rPr>
        <w:t>设置加分</w:t>
      </w:r>
      <w:r>
        <w:rPr>
          <w:rFonts w:hint="eastAsia" w:ascii="楷体_GB2312" w:hAnsi="楷体_GB2312" w:eastAsia="楷体_GB2312" w:cs="楷体_GB2312"/>
          <w:snapToGrid/>
          <w:color w:val="000000" w:themeColor="text1"/>
          <w:kern w:val="2"/>
          <w:sz w:val="32"/>
          <w:szCs w:val="32"/>
          <w:u w:val="none"/>
          <w:lang w:val="en-US" w:eastAsia="zh-CN" w:bidi="ar-SA"/>
          <w14:textFill>
            <w14:solidFill>
              <w14:schemeClr w14:val="tx1"/>
            </w14:solidFill>
          </w14:textFill>
        </w:rPr>
        <w:t>指标项目？</w:t>
      </w:r>
    </w:p>
    <w:p>
      <w:pPr>
        <w:pStyle w:val="3"/>
        <w:keepNext w:val="0"/>
        <w:keepLines w:val="0"/>
        <w:pageBreakBefore w:val="0"/>
        <w:wordWrap/>
        <w:overflowPunct/>
        <w:topLinePunct w:val="0"/>
        <w:bidi w:val="0"/>
        <w:spacing w:before="101" w:line="520" w:lineRule="exact"/>
        <w:ind w:left="123" w:firstLine="658"/>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区外户籍适龄儿童在清城区公民办小学就读，其建立清城区小学学籍的时间越早，说明其在清城区就读的时间越长，故给予加分。</w:t>
      </w:r>
    </w:p>
    <w:p>
      <w:pPr>
        <w:pStyle w:val="3"/>
        <w:keepNext w:val="0"/>
        <w:keepLines w:val="0"/>
        <w:pageBreakBefore w:val="0"/>
        <w:wordWrap/>
        <w:overflowPunct/>
        <w:topLinePunct w:val="0"/>
        <w:bidi w:val="0"/>
        <w:spacing w:before="101" w:line="520" w:lineRule="exact"/>
        <w:ind w:left="123" w:firstLine="658"/>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t>此政策解读最终解释权归清城区教育局。</w:t>
      </w:r>
    </w:p>
    <w:p>
      <w:pPr>
        <w:pStyle w:val="3"/>
        <w:keepNext w:val="0"/>
        <w:keepLines w:val="0"/>
        <w:pageBreakBefore w:val="0"/>
        <w:wordWrap/>
        <w:overflowPunct/>
        <w:topLinePunct w:val="0"/>
        <w:bidi w:val="0"/>
        <w:spacing w:before="101" w:line="520" w:lineRule="exact"/>
        <w:ind w:left="123" w:firstLine="658"/>
        <w:rPr>
          <w:rFonts w:hint="eastAsia" w:ascii="仿宋_GB2312" w:hAnsi="仿宋_GB2312" w:eastAsia="仿宋_GB2312" w:cs="仿宋_GB2312"/>
          <w:color w:val="000000" w:themeColor="text1"/>
          <w:sz w:val="32"/>
          <w:szCs w:val="32"/>
          <w:u w:val="none"/>
          <w:lang w:val="en-US" w:eastAsia="zh-CN"/>
          <w14:textFill>
            <w14:solidFill>
              <w14:schemeClr w14:val="tx1"/>
            </w14:solidFill>
          </w14:textFill>
        </w:rPr>
      </w:pPr>
    </w:p>
    <w:p>
      <w:pPr>
        <w:rPr>
          <w:rFonts w:hint="eastAsia"/>
          <w:color w:val="000000" w:themeColor="text1"/>
          <w:u w:val="none"/>
          <w14:textFill>
            <w14:solidFill>
              <w14:schemeClr w14:val="tx1"/>
            </w14:solidFill>
          </w14:textFill>
        </w:rPr>
      </w:pPr>
      <w:bookmarkStart w:id="0" w:name="_GoBack"/>
      <w:bookmarkEnd w:id="0"/>
    </w:p>
    <w:p>
      <w:pPr>
        <w:pStyle w:val="3"/>
        <w:keepNext w:val="0"/>
        <w:keepLines w:val="0"/>
        <w:pageBreakBefore w:val="0"/>
        <w:wordWrap/>
        <w:overflowPunct/>
        <w:topLinePunct w:val="0"/>
        <w:bidi w:val="0"/>
        <w:spacing w:before="185" w:line="348" w:lineRule="auto"/>
        <w:rPr>
          <w:rFonts w:hint="eastAsia" w:ascii="仿宋_GB2312" w:hAnsi="仿宋_GB2312" w:eastAsia="仿宋_GB2312" w:cs="仿宋_GB2312"/>
          <w:snapToGrid/>
          <w:color w:val="000000" w:themeColor="text1"/>
          <w:kern w:val="2"/>
          <w:sz w:val="32"/>
          <w:szCs w:val="32"/>
          <w:u w:val="none"/>
          <w:lang w:val="en-US" w:eastAsia="zh-CN" w:bidi="ar-SA"/>
          <w14:textFill>
            <w14:solidFill>
              <w14:schemeClr w14:val="tx1"/>
            </w14:solidFill>
          </w14:textFill>
        </w:rPr>
      </w:pPr>
    </w:p>
    <w:sectPr>
      <w:footerReference r:id="rId5" w:type="default"/>
      <w:pgSz w:w="11906" w:h="16839"/>
      <w:pgMar w:top="1440" w:right="1486" w:bottom="1440" w:left="1800" w:header="0" w:footer="850"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6AA9A60B-7055-49A6-9C33-44DD51385EF1}"/>
  </w:font>
  <w:font w:name="黑体">
    <w:panose1 w:val="02010600030101010101"/>
    <w:charset w:val="86"/>
    <w:family w:val="auto"/>
    <w:pitch w:val="default"/>
    <w:sig w:usb0="800002BF" w:usb1="38CF7CFA" w:usb2="00000016" w:usb3="00000000" w:csb0="00040001" w:csb1="00000000"/>
    <w:embedRegular r:id="rId2" w:fontKey="{D2169AC1-E1B5-4B39-8519-36920663BF7F}"/>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angSong_GB2312">
    <w:altName w:val="仿宋_GB2312"/>
    <w:panose1 w:val="02010609030101010101"/>
    <w:charset w:val="86"/>
    <w:family w:val="auto"/>
    <w:pitch w:val="default"/>
    <w:sig w:usb0="00000000" w:usb1="00000000" w:usb2="00000000" w:usb3="00000000" w:csb0="00040000" w:csb1="00000000"/>
    <w:embedRegular r:id="rId3" w:fontKey="{37DB230B-5329-481C-9C13-91F3D724720B}"/>
  </w:font>
  <w:font w:name="微软雅黑">
    <w:panose1 w:val="020B0503020204020204"/>
    <w:charset w:val="86"/>
    <w:family w:val="auto"/>
    <w:pitch w:val="default"/>
    <w:sig w:usb0="80000287" w:usb1="280F3C52" w:usb2="00000016" w:usb3="00000000" w:csb0="0004001F" w:csb1="00000000"/>
  </w:font>
  <w:font w:name="方正小标宋_GBK">
    <w:panose1 w:val="03000509000000000000"/>
    <w:charset w:val="86"/>
    <w:family w:val="script"/>
    <w:pitch w:val="default"/>
    <w:sig w:usb0="00000001" w:usb1="080E0000" w:usb2="00000000" w:usb3="00000000" w:csb0="00040000" w:csb1="00000000"/>
    <w:embedRegular r:id="rId4" w:fontKey="{BC634FB6-7F7A-4F8B-8148-8722F3A860CD}"/>
  </w:font>
  <w:font w:name="仿宋_GB2312">
    <w:panose1 w:val="02010609030101010101"/>
    <w:charset w:val="86"/>
    <w:family w:val="auto"/>
    <w:pitch w:val="default"/>
    <w:sig w:usb0="00000001" w:usb1="080E0000" w:usb2="00000000" w:usb3="00000000" w:csb0="00040000" w:csb1="00000000"/>
    <w:embedRegular r:id="rId5" w:fontKey="{13627B92-0DAB-4B75-ABEB-B15CB5F73E32}"/>
  </w:font>
  <w:font w:name="方正仿宋_GB2312">
    <w:panose1 w:val="02000000000000000000"/>
    <w:charset w:val="86"/>
    <w:family w:val="auto"/>
    <w:pitch w:val="default"/>
    <w:sig w:usb0="00000000" w:usb1="00000000" w:usb2="00000000" w:usb3="00000000" w:csb0="00000000" w:csb1="00000000"/>
    <w:embedRegular r:id="rId6" w:fontKey="{FFE5026D-4D5A-4F4F-B7BF-A8194D74CFA9}"/>
  </w:font>
  <w:font w:name="楷体_GB2312">
    <w:panose1 w:val="02010609030101010101"/>
    <w:charset w:val="86"/>
    <w:family w:val="modern"/>
    <w:pitch w:val="default"/>
    <w:sig w:usb0="00000001" w:usb1="080E0000" w:usb2="00000000" w:usb3="00000000" w:csb0="00040000" w:csb1="00000000"/>
    <w:embedRegular r:id="rId7" w:fontKey="{A0E1F689-C21E-4E3A-BFD6-5DECE3BDACDC}"/>
  </w:font>
  <w:font w:name="方正楷体_GB2312">
    <w:altName w:val="楷体_GB2312"/>
    <w:panose1 w:val="02000000000000000000"/>
    <w:charset w:val="86"/>
    <w:family w:val="auto"/>
    <w:pitch w:val="default"/>
    <w:sig w:usb0="00000000" w:usb1="00000000" w:usb2="00000000" w:usb3="00000000" w:csb0="00000000" w:csb1="00000000"/>
    <w:embedRegular r:id="rId8" w:fontKey="{AB678BB0-DFA9-48CE-9EA1-12B37A6FE0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81" w:lineRule="auto"/>
      <w:rPr>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pPr>
                      <w:pStyle w:val="4"/>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zU1MGE0N2RjMDQ1ZWMwZDU3NDM0MWVhMjNhNTk5NDAifQ=="/>
  </w:docVars>
  <w:rsids>
    <w:rsidRoot w:val="00000000"/>
    <w:rsid w:val="01AC07A0"/>
    <w:rsid w:val="01AD4208"/>
    <w:rsid w:val="01F44FBF"/>
    <w:rsid w:val="03730303"/>
    <w:rsid w:val="06816C00"/>
    <w:rsid w:val="07BD1DED"/>
    <w:rsid w:val="07D73D64"/>
    <w:rsid w:val="07F67F12"/>
    <w:rsid w:val="095A33EB"/>
    <w:rsid w:val="09C623D6"/>
    <w:rsid w:val="0AE42087"/>
    <w:rsid w:val="0CA061C2"/>
    <w:rsid w:val="0CC060A2"/>
    <w:rsid w:val="0CCA0660"/>
    <w:rsid w:val="0FD20500"/>
    <w:rsid w:val="10910A4F"/>
    <w:rsid w:val="12BA3AFE"/>
    <w:rsid w:val="13013B24"/>
    <w:rsid w:val="13F33A7F"/>
    <w:rsid w:val="13FF2F55"/>
    <w:rsid w:val="15027781"/>
    <w:rsid w:val="160049A9"/>
    <w:rsid w:val="171252B7"/>
    <w:rsid w:val="18BC0157"/>
    <w:rsid w:val="18C63D70"/>
    <w:rsid w:val="18F752A4"/>
    <w:rsid w:val="19577D3F"/>
    <w:rsid w:val="1AE44427"/>
    <w:rsid w:val="1C2C5942"/>
    <w:rsid w:val="1CE83A6D"/>
    <w:rsid w:val="1D132149"/>
    <w:rsid w:val="1D490249"/>
    <w:rsid w:val="1EE2375A"/>
    <w:rsid w:val="20796583"/>
    <w:rsid w:val="20AD099C"/>
    <w:rsid w:val="21297FFE"/>
    <w:rsid w:val="2229301C"/>
    <w:rsid w:val="23B514D0"/>
    <w:rsid w:val="2444488A"/>
    <w:rsid w:val="25C3146B"/>
    <w:rsid w:val="25FA3C5B"/>
    <w:rsid w:val="261277DE"/>
    <w:rsid w:val="262C00AD"/>
    <w:rsid w:val="266462E2"/>
    <w:rsid w:val="29016B83"/>
    <w:rsid w:val="292D497D"/>
    <w:rsid w:val="295269E2"/>
    <w:rsid w:val="2A0C354A"/>
    <w:rsid w:val="2A4A1F6F"/>
    <w:rsid w:val="2CDB4975"/>
    <w:rsid w:val="2D456997"/>
    <w:rsid w:val="2E293AC9"/>
    <w:rsid w:val="2F696CC5"/>
    <w:rsid w:val="306717F6"/>
    <w:rsid w:val="30FE2C63"/>
    <w:rsid w:val="31581F8F"/>
    <w:rsid w:val="32252328"/>
    <w:rsid w:val="327063B6"/>
    <w:rsid w:val="35E7271A"/>
    <w:rsid w:val="3648583D"/>
    <w:rsid w:val="38B60FD1"/>
    <w:rsid w:val="39287C9C"/>
    <w:rsid w:val="39D251D4"/>
    <w:rsid w:val="3A5957D8"/>
    <w:rsid w:val="3A9A6FCE"/>
    <w:rsid w:val="3B022C28"/>
    <w:rsid w:val="3CE24342"/>
    <w:rsid w:val="3D7A5FCD"/>
    <w:rsid w:val="3EE9746F"/>
    <w:rsid w:val="3F800075"/>
    <w:rsid w:val="3F8151B5"/>
    <w:rsid w:val="41D645E8"/>
    <w:rsid w:val="43285FD2"/>
    <w:rsid w:val="43E04B67"/>
    <w:rsid w:val="44A12560"/>
    <w:rsid w:val="44F06E51"/>
    <w:rsid w:val="45F05563"/>
    <w:rsid w:val="4899622D"/>
    <w:rsid w:val="491F0395"/>
    <w:rsid w:val="498371F1"/>
    <w:rsid w:val="4B1354DC"/>
    <w:rsid w:val="4BB41CCB"/>
    <w:rsid w:val="4BD921D0"/>
    <w:rsid w:val="4BF6024E"/>
    <w:rsid w:val="4BF9345A"/>
    <w:rsid w:val="4C867390"/>
    <w:rsid w:val="4D307206"/>
    <w:rsid w:val="4E6168E1"/>
    <w:rsid w:val="4EC519B3"/>
    <w:rsid w:val="4FB07749"/>
    <w:rsid w:val="5033051A"/>
    <w:rsid w:val="50F05571"/>
    <w:rsid w:val="51FD45F3"/>
    <w:rsid w:val="52F613B2"/>
    <w:rsid w:val="559A122A"/>
    <w:rsid w:val="5638149E"/>
    <w:rsid w:val="58517E38"/>
    <w:rsid w:val="59D0719C"/>
    <w:rsid w:val="59D53205"/>
    <w:rsid w:val="5AE619C0"/>
    <w:rsid w:val="5B343B43"/>
    <w:rsid w:val="5BED6E7A"/>
    <w:rsid w:val="5C3C13BC"/>
    <w:rsid w:val="5DCE1BAD"/>
    <w:rsid w:val="5E66172F"/>
    <w:rsid w:val="5EBD0144"/>
    <w:rsid w:val="5FD27D04"/>
    <w:rsid w:val="60601A70"/>
    <w:rsid w:val="608A02CB"/>
    <w:rsid w:val="609E0780"/>
    <w:rsid w:val="61EB3984"/>
    <w:rsid w:val="628D62A1"/>
    <w:rsid w:val="63895A85"/>
    <w:rsid w:val="6469777A"/>
    <w:rsid w:val="657F0FC1"/>
    <w:rsid w:val="666B2492"/>
    <w:rsid w:val="67A90EF5"/>
    <w:rsid w:val="69835388"/>
    <w:rsid w:val="6A5A6A83"/>
    <w:rsid w:val="6B2E6D2D"/>
    <w:rsid w:val="6B740478"/>
    <w:rsid w:val="6C652F94"/>
    <w:rsid w:val="6CBB4266"/>
    <w:rsid w:val="6E225843"/>
    <w:rsid w:val="6E7E58FC"/>
    <w:rsid w:val="6E882298"/>
    <w:rsid w:val="6FB93CBA"/>
    <w:rsid w:val="718E65AF"/>
    <w:rsid w:val="71A859B5"/>
    <w:rsid w:val="72402BE7"/>
    <w:rsid w:val="72A636AF"/>
    <w:rsid w:val="72E0348B"/>
    <w:rsid w:val="73B30B98"/>
    <w:rsid w:val="73E97A42"/>
    <w:rsid w:val="742D3335"/>
    <w:rsid w:val="74B046FA"/>
    <w:rsid w:val="75A31A0E"/>
    <w:rsid w:val="75EC04DA"/>
    <w:rsid w:val="76770191"/>
    <w:rsid w:val="768F29DD"/>
    <w:rsid w:val="78B06133"/>
    <w:rsid w:val="79796581"/>
    <w:rsid w:val="797D1560"/>
    <w:rsid w:val="79863CB3"/>
    <w:rsid w:val="7A963C55"/>
    <w:rsid w:val="7B343E42"/>
    <w:rsid w:val="7D0B5280"/>
    <w:rsid w:val="7D104F24"/>
    <w:rsid w:val="7D633F66"/>
    <w:rsid w:val="7D974668"/>
    <w:rsid w:val="7F9C2508"/>
    <w:rsid w:val="7FCB2C91"/>
    <w:rsid w:val="7FD11D9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3">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9">
    <w:name w:val="Strong"/>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p0"/>
    <w:basedOn w:val="12"/>
    <w:qFormat/>
    <w:uiPriority w:val="0"/>
    <w:pPr>
      <w:widowControl/>
      <w:spacing w:line="365" w:lineRule="atLeast"/>
      <w:ind w:left="1"/>
      <w:textAlignment w:val="bottom"/>
    </w:pPr>
    <w:rPr>
      <w:kern w:val="0"/>
      <w:sz w:val="20"/>
      <w:szCs w:val="20"/>
    </w:rPr>
  </w:style>
  <w:style w:type="paragraph" w:customStyle="1" w:styleId="12">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
    <w:name w:val="Body Text First Indent 21"/>
    <w:basedOn w:val="14"/>
    <w:qFormat/>
    <w:uiPriority w:val="0"/>
    <w:pPr>
      <w:ind w:firstLine="420" w:firstLineChars="200"/>
    </w:pPr>
  </w:style>
  <w:style w:type="paragraph" w:customStyle="1" w:styleId="14">
    <w:name w:val="Body Text Indent1"/>
    <w:basedOn w:val="1"/>
    <w:qFormat/>
    <w:uiPriority w:val="0"/>
    <w:pPr>
      <w:spacing w:after="120" w:afterLines="0" w:afterAutospacing="0"/>
      <w:ind w:left="420" w:left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Pages>
  <Words>4284</Words>
  <Characters>4384</Characters>
  <TotalTime>12</TotalTime>
  <ScaleCrop>false</ScaleCrop>
  <LinksUpToDate>false</LinksUpToDate>
  <CharactersWithSpaces>4409</CharactersWithSpaces>
  <Application>WPS Office_11.8.2.10158_F1E327BC-269C-435d-A152-05C5408002CA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2024-09-24T11:16:00Z</dcterms:created>
  <dc:creator>Administrator</dc:creator>
  <cp:lastModifiedBy>朱治文</cp:lastModifiedBy>
  <cp:lastPrinted>2024-12-25T05:08:00Z</cp:lastPrinted>
  <dcterms:modified xsi:type="dcterms:W3CDTF">2025-06-18T14:13:59Z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wqlLaW5nc29mdCBQREYgdG8gV1BTIDEwNQ</vt:lpwstr>
  </property>
  <property fmtid="{D5CDD505-2E9C-101B-9397-08002B2CF9AE}" pid="3" name="Created">
    <vt:filetime>2024-09-24T11:16:41Z</vt:filetime>
  </property>
  <property fmtid="{D5CDD505-2E9C-101B-9397-08002B2CF9AE}" pid="4" name="KSOProductBuildVer">
    <vt:lpwstr>2052-11.8.2.10158</vt:lpwstr>
  </property>
  <property fmtid="{D5CDD505-2E9C-101B-9397-08002B2CF9AE}" pid="5" name="ICV">
    <vt:lpwstr>4EDA7DDA91784659B61EEAD718B9FC7C_12</vt:lpwstr>
  </property>
</Properties>
</file>